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BFB" w:rsidRDefault="00957427">
      <w:pPr>
        <w:rPr>
          <w:b/>
        </w:rPr>
      </w:pPr>
      <w:r w:rsidRPr="00957427">
        <w:rPr>
          <w:b/>
        </w:rPr>
        <w:t>Instructions</w:t>
      </w:r>
    </w:p>
    <w:p w:rsidR="0099278D" w:rsidRDefault="0099278D">
      <w:r>
        <w:t>The purpose of this site is to calculate the probability of reaching one or more investment goals over a period of time (See Figure 1).</w:t>
      </w:r>
    </w:p>
    <w:p w:rsidR="0099278D" w:rsidRPr="0099278D" w:rsidRDefault="0099278D">
      <w:pPr>
        <w:rPr>
          <w:b/>
          <w:i/>
        </w:rPr>
      </w:pPr>
      <w:r>
        <w:rPr>
          <w:b/>
          <w:i/>
        </w:rPr>
        <w:t>Figure 1: The Probability of reaching one or more financial targets vs time</w:t>
      </w:r>
    </w:p>
    <w:p w:rsidR="00957427" w:rsidRDefault="0099278D">
      <w:r>
        <w:rPr>
          <w:noProof/>
        </w:rPr>
        <w:drawing>
          <wp:inline distT="0" distB="0" distL="0" distR="0">
            <wp:extent cx="4714286" cy="28761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abilityOfSucessGrap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D5F62" w:rsidRDefault="008D5F62">
      <w:r>
        <w:t xml:space="preserve">Two inputs are required to produce the above output: 1) cash flows required to attain the goal (Figure 2); 2) forecasts for the investments used to fund the cash flows. The site uses default assumptions for both inputs (Figure 3). </w:t>
      </w:r>
      <w:r w:rsidR="00585EA3">
        <w:t xml:space="preserve">You </w:t>
      </w:r>
      <w:r>
        <w:t xml:space="preserve">can modify these defaults to reflect </w:t>
      </w:r>
      <w:r w:rsidR="00585EA3">
        <w:t>your</w:t>
      </w:r>
      <w:r>
        <w:t xml:space="preserve"> own goals or investment views.</w:t>
      </w:r>
    </w:p>
    <w:p w:rsidR="008D5F62" w:rsidRPr="008D5F62" w:rsidRDefault="008D5F62">
      <w:r>
        <w:rPr>
          <w:b/>
          <w:i/>
        </w:rPr>
        <w:t>Figure 2: Cash flows required to attain goals versus time</w:t>
      </w:r>
      <w:r w:rsidR="001D76E1">
        <w:rPr>
          <w:b/>
          <w:i/>
        </w:rPr>
        <w:t xml:space="preserve">. </w:t>
      </w:r>
      <w:r w:rsidR="00585EA3">
        <w:rPr>
          <w:b/>
          <w:i/>
        </w:rPr>
        <w:t>You</w:t>
      </w:r>
      <w:r w:rsidR="001D76E1">
        <w:rPr>
          <w:b/>
          <w:i/>
        </w:rPr>
        <w:t xml:space="preserve"> can download the default cash flows into a .csv file (button with down arrow), modify the values in the .csv file, and then upload the modified .csv (button with “Choose File”).</w:t>
      </w:r>
    </w:p>
    <w:p w:rsidR="008D5F62" w:rsidRDefault="008D5F62">
      <w:r>
        <w:rPr>
          <w:noProof/>
        </w:rPr>
        <w:lastRenderedPageBreak/>
        <w:drawing>
          <wp:inline distT="0" distB="0" distL="0" distR="0">
            <wp:extent cx="4704762" cy="3200000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hFlows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8D" w:rsidRDefault="008D5F62" w:rsidP="0099278D">
      <w:pPr>
        <w:spacing w:after="0"/>
      </w:pPr>
      <w:r>
        <w:t xml:space="preserve">Figure 2 shows the cash flows required to attain one or more goals </w:t>
      </w:r>
      <w:r w:rsidR="001D76E1">
        <w:t xml:space="preserve">over time. As previously mentioned, this graph is initially populated with default values. </w:t>
      </w:r>
      <w:r w:rsidR="00585EA3">
        <w:t>You</w:t>
      </w:r>
      <w:r w:rsidR="001D76E1">
        <w:t xml:space="preserve"> can modify these cash flows through downloading a comma separated value (.csv) file, modifying the cash flows in the file, and then uploading the new values back into the site.</w:t>
      </w:r>
    </w:p>
    <w:p w:rsidR="006F479A" w:rsidRDefault="006F479A" w:rsidP="0099278D">
      <w:pPr>
        <w:spacing w:after="0"/>
      </w:pPr>
    </w:p>
    <w:p w:rsidR="006F479A" w:rsidRPr="006F479A" w:rsidRDefault="006F479A" w:rsidP="0099278D">
      <w:pPr>
        <w:spacing w:after="0"/>
        <w:rPr>
          <w:b/>
          <w:i/>
        </w:rPr>
      </w:pPr>
      <w:r>
        <w:rPr>
          <w:b/>
          <w:i/>
        </w:rPr>
        <w:t xml:space="preserve">Figure 3: Once the download button is clicked, the web browser downloads a .csv containing the </w:t>
      </w:r>
      <w:r w:rsidR="00F13FF1">
        <w:rPr>
          <w:b/>
          <w:i/>
        </w:rPr>
        <w:t>cash flows</w:t>
      </w:r>
      <w:r>
        <w:rPr>
          <w:b/>
          <w:i/>
        </w:rPr>
        <w:t xml:space="preserve">. </w:t>
      </w:r>
      <w:r w:rsidR="00585EA3">
        <w:rPr>
          <w:b/>
          <w:i/>
        </w:rPr>
        <w:t>You can edit this file</w:t>
      </w:r>
      <w:r>
        <w:rPr>
          <w:b/>
          <w:i/>
        </w:rPr>
        <w:t xml:space="preserve"> using a program such as Microsoft </w:t>
      </w:r>
      <w:r w:rsidR="00585EA3">
        <w:rPr>
          <w:b/>
          <w:i/>
        </w:rPr>
        <w:t xml:space="preserve">Excel or Notepad++ and upload it </w:t>
      </w:r>
      <w:r>
        <w:rPr>
          <w:b/>
          <w:i/>
        </w:rPr>
        <w:t>back into the browser.</w:t>
      </w:r>
    </w:p>
    <w:p w:rsidR="006F479A" w:rsidRDefault="006F479A" w:rsidP="0099278D">
      <w:pPr>
        <w:spacing w:after="0"/>
      </w:pPr>
      <w:r>
        <w:rPr>
          <w:noProof/>
        </w:rPr>
        <w:drawing>
          <wp:inline distT="0" distB="0" distL="0" distR="0">
            <wp:extent cx="5943600" cy="1042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hflow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9A" w:rsidRDefault="006F479A" w:rsidP="0099278D">
      <w:pPr>
        <w:spacing w:after="0"/>
      </w:pPr>
      <w:bookmarkStart w:id="0" w:name="_GoBack"/>
      <w:bookmarkEnd w:id="0"/>
    </w:p>
    <w:p w:rsidR="006F479A" w:rsidRDefault="006F479A" w:rsidP="0099278D">
      <w:pPr>
        <w:spacing w:after="0"/>
        <w:rPr>
          <w:b/>
        </w:rPr>
      </w:pPr>
      <w:r>
        <w:rPr>
          <w:b/>
        </w:rPr>
        <w:lastRenderedPageBreak/>
        <w:t>Figure 4: The .csv file can be edited using Microsoft Excel</w:t>
      </w:r>
      <w:r w:rsidR="00747021">
        <w:rPr>
          <w:b/>
        </w:rPr>
        <w:t xml:space="preserve">. </w:t>
      </w:r>
      <w:r>
        <w:rPr>
          <w:b/>
          <w:noProof/>
        </w:rPr>
        <w:drawing>
          <wp:inline distT="0" distB="0" distL="0" distR="0">
            <wp:extent cx="4038095" cy="248571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hflows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21" w:rsidRDefault="00747021" w:rsidP="0099278D">
      <w:pPr>
        <w:spacing w:after="0"/>
        <w:rPr>
          <w:b/>
        </w:rPr>
      </w:pPr>
    </w:p>
    <w:p w:rsidR="00747021" w:rsidRDefault="00747021" w:rsidP="0099278D">
      <w:pPr>
        <w:spacing w:after="0"/>
        <w:rPr>
          <w:b/>
        </w:rPr>
      </w:pPr>
      <w:r>
        <w:rPr>
          <w:b/>
        </w:rPr>
        <w:t>Figure 5: After the cash flows have been modified, ensure that file continues to be saved as a .csv file (click the “Yes” button)</w:t>
      </w:r>
    </w:p>
    <w:p w:rsidR="00747021" w:rsidRDefault="00747021" w:rsidP="0099278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990476" cy="115238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vecashflow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21" w:rsidRDefault="00747021" w:rsidP="0099278D">
      <w:pPr>
        <w:spacing w:after="0"/>
        <w:rPr>
          <w:b/>
        </w:rPr>
      </w:pPr>
    </w:p>
    <w:p w:rsidR="00747021" w:rsidRDefault="00747021" w:rsidP="0099278D">
      <w:pPr>
        <w:spacing w:after="0"/>
        <w:rPr>
          <w:b/>
        </w:rPr>
      </w:pPr>
      <w:r>
        <w:rPr>
          <w:b/>
        </w:rPr>
        <w:t xml:space="preserve">Figure 6: Once the </w:t>
      </w:r>
      <w:r w:rsidR="00585EA3">
        <w:rPr>
          <w:b/>
        </w:rPr>
        <w:t>new cash flow file is uploaded</w:t>
      </w:r>
      <w:r>
        <w:rPr>
          <w:b/>
        </w:rPr>
        <w:t>, the cash flows graph displays the new data.</w:t>
      </w:r>
    </w:p>
    <w:p w:rsidR="00747021" w:rsidRDefault="00747021" w:rsidP="0099278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790476" cy="3247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ifiedcashflow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21" w:rsidRDefault="00747021" w:rsidP="0099278D">
      <w:pPr>
        <w:spacing w:after="0"/>
        <w:rPr>
          <w:b/>
        </w:rPr>
      </w:pPr>
    </w:p>
    <w:p w:rsidR="00985B28" w:rsidRDefault="006E39C7" w:rsidP="0099278D">
      <w:pPr>
        <w:spacing w:after="0"/>
      </w:pPr>
      <w:r>
        <w:lastRenderedPageBreak/>
        <w:t xml:space="preserve">Similarly, </w:t>
      </w:r>
      <w:r w:rsidR="00585EA3">
        <w:t>you</w:t>
      </w:r>
      <w:r>
        <w:t xml:space="preserve"> can modify the investment</w:t>
      </w:r>
      <w:r w:rsidR="00BD1DD9">
        <w:t xml:space="preserve"> properties</w:t>
      </w:r>
      <w:r>
        <w:t xml:space="preserve"> to</w:t>
      </w:r>
      <w:r w:rsidR="00BD1DD9">
        <w:t xml:space="preserve"> fit </w:t>
      </w:r>
      <w:r w:rsidR="00585EA3">
        <w:t xml:space="preserve">your </w:t>
      </w:r>
      <w:r w:rsidR="00BD1DD9">
        <w:t>own circumstances. As shown in Figure 7, this step is performed in the “Nodes” section.</w:t>
      </w:r>
    </w:p>
    <w:p w:rsidR="00985B28" w:rsidRDefault="00985B28" w:rsidP="0099278D">
      <w:pPr>
        <w:spacing w:after="0"/>
      </w:pPr>
    </w:p>
    <w:p w:rsidR="00985B28" w:rsidRPr="00985B28" w:rsidRDefault="00985B28" w:rsidP="0099278D">
      <w:pPr>
        <w:spacing w:after="0"/>
        <w:rPr>
          <w:b/>
          <w:i/>
        </w:rPr>
      </w:pPr>
      <w:r>
        <w:rPr>
          <w:b/>
          <w:i/>
        </w:rPr>
        <w:t xml:space="preserve">Figure 7: The initial investment amount and price paid can be modified in the “Nodes” section. </w:t>
      </w:r>
    </w:p>
    <w:p w:rsidR="00747021" w:rsidRDefault="006E39C7" w:rsidP="0099278D">
      <w:pPr>
        <w:spacing w:after="0"/>
      </w:pPr>
      <w:r>
        <w:rPr>
          <w:noProof/>
        </w:rPr>
        <w:drawing>
          <wp:inline distT="0" distB="0" distL="0" distR="0">
            <wp:extent cx="5943600" cy="1871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desTa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28" w:rsidRDefault="00985B28" w:rsidP="0099278D">
      <w:pPr>
        <w:spacing w:after="0"/>
      </w:pPr>
    </w:p>
    <w:p w:rsidR="00985B28" w:rsidRDefault="00985B28" w:rsidP="0099278D">
      <w:pPr>
        <w:spacing w:after="0"/>
      </w:pPr>
      <w:r>
        <w:t xml:space="preserve">Also, </w:t>
      </w:r>
      <w:r w:rsidR="00585EA3">
        <w:t>you</w:t>
      </w:r>
      <w:r>
        <w:t xml:space="preserve"> can modify the forecast to reflect </w:t>
      </w:r>
      <w:r w:rsidR="00585EA3">
        <w:t>your</w:t>
      </w:r>
      <w:r>
        <w:t xml:space="preserve"> own views. This is performed in the “Distributions” section shown in Figure 8.</w:t>
      </w:r>
    </w:p>
    <w:p w:rsidR="005A193F" w:rsidRDefault="005A193F" w:rsidP="0099278D">
      <w:pPr>
        <w:spacing w:after="0"/>
      </w:pPr>
    </w:p>
    <w:p w:rsidR="005A193F" w:rsidRDefault="005A193F" w:rsidP="0099278D">
      <w:pPr>
        <w:spacing w:after="0"/>
        <w:rPr>
          <w:b/>
          <w:i/>
        </w:rPr>
      </w:pPr>
      <w:r>
        <w:rPr>
          <w:b/>
          <w:i/>
        </w:rPr>
        <w:t xml:space="preserve">Figure 8: </w:t>
      </w:r>
      <w:r w:rsidR="006A7D14">
        <w:rPr>
          <w:b/>
          <w:i/>
        </w:rPr>
        <w:t xml:space="preserve">Forecasts can be modified in the Distribution section </w:t>
      </w:r>
      <w:r w:rsidR="006A7D14">
        <w:rPr>
          <w:b/>
          <w:i/>
          <w:noProof/>
        </w:rPr>
        <w:drawing>
          <wp:inline distT="0" distB="0" distL="0" distR="0">
            <wp:extent cx="4400550" cy="392335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stributionGrap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711" cy="393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D4" w:rsidRDefault="007E0FD4" w:rsidP="0099278D">
      <w:pPr>
        <w:spacing w:after="0"/>
      </w:pPr>
    </w:p>
    <w:p w:rsidR="007E0FD4" w:rsidRDefault="007E0FD4" w:rsidP="0099278D">
      <w:pPr>
        <w:spacing w:after="0"/>
      </w:pPr>
      <w:r>
        <w:t xml:space="preserve">After the forecasts and investment properties have been modified, </w:t>
      </w:r>
      <w:r w:rsidR="00797369">
        <w:t>you</w:t>
      </w:r>
      <w:r>
        <w:t xml:space="preserve"> can save these to a file similarly to the cash flows. Unlike the cash flows, </w:t>
      </w:r>
      <w:r w:rsidR="00797369">
        <w:t>you</w:t>
      </w:r>
      <w:r>
        <w:t xml:space="preserve"> should not modify the saved file directly. However, both the cash flow and nodes file can be uploaded to the browser again in the future. This is useful because </w:t>
      </w:r>
      <w:r>
        <w:lastRenderedPageBreak/>
        <w:t xml:space="preserve">the site does not store any user data and will return the default assumptions once the browser is refreshed. Therefore, these two files enable </w:t>
      </w:r>
      <w:r w:rsidR="00D3447E">
        <w:t>you to rerun your</w:t>
      </w:r>
      <w:r>
        <w:t xml:space="preserve"> analysis in the future.</w:t>
      </w:r>
    </w:p>
    <w:p w:rsidR="00A769AF" w:rsidRDefault="00A769AF" w:rsidP="0099278D">
      <w:pPr>
        <w:spacing w:after="0"/>
      </w:pPr>
    </w:p>
    <w:p w:rsidR="00A769AF" w:rsidRPr="007E0FD4" w:rsidRDefault="00585EA3" w:rsidP="0099278D">
      <w:pPr>
        <w:spacing w:after="0"/>
      </w:pPr>
      <w:r>
        <w:t xml:space="preserve">Once </w:t>
      </w:r>
      <w:r w:rsidR="008A3DB4">
        <w:t>you have</w:t>
      </w:r>
      <w:r>
        <w:t xml:space="preserve"> modified the assumptions to </w:t>
      </w:r>
      <w:r w:rsidR="008A3DB4">
        <w:t xml:space="preserve">your </w:t>
      </w:r>
      <w:r>
        <w:t>satisfaction,</w:t>
      </w:r>
      <w:r w:rsidR="008A3DB4">
        <w:t xml:space="preserve"> click the “Calculate” button. This will rerun the analysis using your assumptions and will produce a new “Probability of Success” Graph.</w:t>
      </w:r>
    </w:p>
    <w:sectPr w:rsidR="00A769AF" w:rsidRPr="007E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427"/>
    <w:rsid w:val="001D76E1"/>
    <w:rsid w:val="00585EA3"/>
    <w:rsid w:val="005A193F"/>
    <w:rsid w:val="006A7D14"/>
    <w:rsid w:val="006E39C7"/>
    <w:rsid w:val="006F479A"/>
    <w:rsid w:val="006F7BFB"/>
    <w:rsid w:val="00707954"/>
    <w:rsid w:val="00747021"/>
    <w:rsid w:val="00797369"/>
    <w:rsid w:val="007E0FD4"/>
    <w:rsid w:val="008A3DB4"/>
    <w:rsid w:val="008C04DE"/>
    <w:rsid w:val="008D5F62"/>
    <w:rsid w:val="00957427"/>
    <w:rsid w:val="00985B28"/>
    <w:rsid w:val="0099278D"/>
    <w:rsid w:val="00A769AF"/>
    <w:rsid w:val="00BD1DD9"/>
    <w:rsid w:val="00D3447E"/>
    <w:rsid w:val="00F1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3CB3"/>
  <w15:chartTrackingRefBased/>
  <w15:docId w15:val="{9D995486-0BCC-4AC6-BF2D-86DE14FD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850015EB.dotm</Template>
  <TotalTime>189</TotalTime>
  <Pages>5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Heidmar Inc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Wynne</dc:creator>
  <cp:keywords/>
  <dc:description/>
  <cp:lastModifiedBy>Bill Wynne</cp:lastModifiedBy>
  <cp:revision>19</cp:revision>
  <dcterms:created xsi:type="dcterms:W3CDTF">2018-10-31T12:26:00Z</dcterms:created>
  <dcterms:modified xsi:type="dcterms:W3CDTF">2018-11-01T12:54:00Z</dcterms:modified>
</cp:coreProperties>
</file>