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Bdr>
          <w:bottom w:val="single" w:color="2E75B6" w:sz="18" w:space="8"/>
        </w:pBdr>
        <w:spacing w:after="3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INEXPRO CRM</w:t>
      </w:r>
    </w:p>
    <w:p>
      <w:pPr>
        <w:spacing w:after="600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Client Data Completeness Assessment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Evaluation of Client Data Management Capabilities</w:t>
      </w:r>
    </w:p>
    <w:p>
      <w:pPr>
        <w:spacing w:after="60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for South African Short-Term Insurance Broker Operations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2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 April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Inexpro Advisory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 Use</w:t>
            </w:r>
          </w:p>
        </w:tc>
      </w:tr>
    </w:tbl>
    <w:p>
      <w:pPr>
        <w:sectPr>
          <w:pgSz w:w="12240" w:h="15840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Overall Verdict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ED7D31"/>
          <w:sz w:val="24"/>
          <w:szCs w:val="24"/>
        </w:rPr>
        <w:t xml:space="preserve">██████████████</w:t>
      </w:r>
      <w:r>
        <w:rPr>
          <w:rFonts w:ascii="Consolas" w:cs="Consolas" w:eastAsia="Consolas" w:hAnsi="Consolas"/>
          <w:color w:val="CCCCCC"/>
          <w:sz w:val="24"/>
          <w:szCs w:val="24"/>
        </w:rPr>
        <w:t xml:space="preserve">░░░░░░</w:t>
      </w: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  70%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Inexpro CRM is approximately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70% complete</w:t>
      </w:r>
      <w:r>
        <w:rPr>
          <w:rFonts w:ascii="Arial" w:cs="Arial" w:eastAsia="Arial" w:hAnsi="Arial"/>
          <w:sz w:val="22"/>
          <w:szCs w:val="22"/>
        </w:rPr>
        <w:t xml:space="preserve"> for daily client data management. The core structure is solid with properly linked contacts, accounts, policies, assets, claims, complaints, and advice records. However, practical daily-use gaps in banking/payment details, personal data fields, and contact relationships would frustrate brokers using it as their primary system.</w:t>
      </w:r>
    </w:p>
    <w:p>
      <w:pPr>
        <w:spacing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2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Key Takeaway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entity relationships and data structures are well-designed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 and risk detail fields are exceptionally comprehensive (60+ fields)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Advisory pipeline and compliance tracking exceed industry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gaps in banking, personal data, and import capabilities prevent immediate go-live for client data use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Module-by-Module Scorecard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client data module is assessed for completeness against what a South African short-term insurance broker needs for daily operations.</w:t>
      </w:r>
    </w:p>
    <w:p>
      <w:pPr>
        <w:spacing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400"/>
        <w:gridCol w:w="35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 / Risk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95%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Excellent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Minor: no GPS coordinates for risk locations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Advisory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Comprehensive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stage progression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85%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Strong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scheduling or due-date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Sections / Gap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Comprehensive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product comparison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85%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Strong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insurer SLA tracking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Complaints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85%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Strong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FSCA quarterly reporting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Comprehensive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 retention lifecycle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Core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65%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Partial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payment/debit order fields, no premium frequency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Personal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60%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Partial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title, gender, language, marital status, occupation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Relationships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Limited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family groups, no multi-role per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Preferences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gap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email/mobile/work captured; no preferences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Banking / Payment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Missing entirely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debit order, bank, or payment method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Missing entirely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CSV/Excel import capability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Missing entirely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dedup logic or merge tools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What's Working Well</w:t>
      </w:r>
    </w:p>
    <w:p>
      <w:pPr>
        <w:pStyle w:val="Heading2"/>
      </w:pPr>
      <w:r>
        <w:t xml:space="preserve">3.1 Assets and Risk Details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48235"/>
          <w:sz w:val="20"/>
          <w:szCs w:val="20"/>
        </w:rPr>
        <w:t xml:space="preserve">Score: 95%  </w:t>
      </w:r>
      <w:r>
        <w:rPr>
          <w:rFonts w:ascii="Arial" w:cs="Arial" w:eastAsia="Arial" w:hAnsi="Arial"/>
          <w:sz w:val="20"/>
          <w:szCs w:val="20"/>
        </w:rPr>
        <w:t xml:space="preserve">This is the standout module. Over 60 section-specific fields properly capture underwriting data across all major short-term classes.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Motor: use type, GVM, tracking device, territory, cover type, regular driver, credit shortfall, vehicle extras, financial interest details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Buildings: construction type, roof type, occupancy, floors, perils covered, subsidence cover, geyser cover, security measures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Contents: category, unspecified items, specified items, theft extension, power surge cover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Liability: limit of indemnity, aggregate, business activity, turnover, employee count, retroactive date, trigger basis, defence costs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Goods in Transit: commodity, conveyance type, route, max single 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Watercraft: vessel details, hull length, motor, mooring, navigational limits, skipper qualification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Livestock/Game: breed, gender, count, identification method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3.2 Advisory Pipeline and Engagement Tracking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48235"/>
          <w:sz w:val="20"/>
          <w:szCs w:val="20"/>
        </w:rPr>
        <w:t xml:space="preserve">Score: 90%  </w:t>
      </w:r>
      <w:r>
        <w:rPr>
          <w:rFonts w:ascii="Arial" w:cs="Arial" w:eastAsia="Arial" w:hAnsi="Arial"/>
          <w:sz w:val="20"/>
          <w:szCs w:val="20"/>
        </w:rPr>
        <w:t xml:space="preserve">The 12-stage engagement pipeline is a genuine compliance differentiator. Stage gates enforce that disclosure is completed before advancing past 'Advice Presented'.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Stages: Prospect through to Implemented/Active with Lost/Declined/On Hold options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Enforced workflow: cannot progress unless disclosure_completed = 1 AND client_decision = Accepted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Fact find, needs analysis, and proposal preparation tracked as discrete completion flags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Suitability confirmed and client understanding confirmed before implementation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3.3 Policy Sections and Gap Analysis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48235"/>
          <w:sz w:val="20"/>
          <w:szCs w:val="20"/>
        </w:rPr>
        <w:t xml:space="preserve">Score: 90%  </w:t>
      </w:r>
      <w:r>
        <w:rPr>
          <w:rFonts w:ascii="Arial" w:cs="Arial" w:eastAsia="Arial" w:hAnsi="Arial"/>
          <w:sz w:val="20"/>
          <w:szCs w:val="20"/>
        </w:rPr>
        <w:t xml:space="preserve">Automatic gap identification at the section level with severity ratings is industry-leading for broker-built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Gap automatically set when risk_exists = 1 AND recommended_for_cover = 1 AND implemented = 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Gap severity classification: Low, Medium, High, Critical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 acceptance and decline tracking with categorised reasons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48 section types covering Personal, Commercial, Transport, Liability, and Specialist 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Needs analysis status workflow per section: Not Assessed through Implemented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3.4 Search and Filtering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Score: 75%  </w:t>
      </w:r>
      <w:r>
        <w:rPr>
          <w:rFonts w:ascii="Arial" w:cs="Arial" w:eastAsia="Arial" w:hAnsi="Arial"/>
          <w:sz w:val="20"/>
          <w:szCs w:val="20"/>
        </w:rPr>
        <w:t xml:space="preserve">Functional search across key modules with pagination and filtering.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Contacts: searchable by name, email, mobile, SA ID number (5 fields)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Accounts: searchable by account name, registration number, VAT number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Policies: searchable by 6 combined fields including contact and account names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lists paginated with configurable limits (max 200 records)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Status, category, and broker filters on list views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3.5 Client Lifecycle Management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48235"/>
          <w:sz w:val="20"/>
          <w:szCs w:val="20"/>
        </w:rPr>
        <w:t xml:space="preserve">Score: 80%  </w:t>
      </w:r>
      <w:r>
        <w:rPr>
          <w:rFonts w:ascii="Arial" w:cs="Arial" w:eastAsia="Arial" w:hAnsi="Arial"/>
          <w:sz w:val="20"/>
          <w:szCs w:val="20"/>
        </w:rPr>
        <w:t xml:space="preserve">Good coverage from prospect through to former client with review cycle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Contact status: Prospect, Active Client, Inactive Client, Former Client, Do Not Service, Deceased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date_became_client captures the transition moment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last_review_date and next_review_date on both contacts and accounts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Dedicated reviews module with 6 review types and linked advice records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 segmentation: 7-level scheme (A, B, C, VIP, Standard, High Risk, Strategic)</w:t>
      </w:r>
    </w:p>
    <w:p>
      <w:r>
        <w:br w:type="page"/>
      </w:r>
    </w:p>
    <w:p>
      <w:pPr>
        <w:pStyle w:val="Heading1"/>
      </w:pPr>
      <w:r>
        <w:t xml:space="preserve">4. Critical Gaps for Daily Client Use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00000" w:sz="12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These gaps would prevent a broker from using the system as their primary client data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Banking and payment details are completely absent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personal data fields used daily are missing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way to import existing client books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detection to maintain data quality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</w:pPr>
      <w:r>
        <w:t xml:space="preserve">4.1 Banking and Payment Details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Completely absent. No fields exist anywhere in the schema for payment methods, bank accounts, or debit order details.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a short-term insurance broker where monthly debit orders are the standard payment method, this is the single largest gap preventing daily use.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Recommended fields to add:</w:t>
      </w:r>
    </w:p>
    <w:p>
      <w:pPr>
        <w:spacing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Debit Order, EFT, Credit Card, Cash, Cheque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premium_frequency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Monthly, Quarterly, Bi-Annual, Annual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debit_order_date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of month (1-31)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e.g., FNB, ABSA, Standard Bank, Nedbank, Capitec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branch_code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branch codes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(encrypted)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stored securely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Cheque, Savings, Transmission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account_holder_name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differ from policyholder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mandate_status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Active, Pending, Cancelled, Expired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mandate_authorization_date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mandate was signed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debit_order_reference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Insurer reference for 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fields should be added to the policies table or a dedicated policy_payment_details table linked by policy_id.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4.2 Personal Data Fields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Core identification exists (name, DOB, SA ID, email, mobile) but several fields that brokers reference daily are missing.</w:t>
      </w:r>
    </w:p>
    <w:p>
      <w:pPr>
        <w:spacing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/ Salutation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correspondence, client-facing documents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Mr, Mrs, Ms, Miss, Dr, Prof, Adv, Rev,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 requirements, communication style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Male, Female, Non-Binary, Prefer Not to Say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Preferred Language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in SA's 11-language market for service quality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English, Afrikaans, Zulu, Xhosa, Sotho, Tswana,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Affects cover needs, joint policies, beneficiaries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Single, Married, Divorced, Widowed, Life Partner,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Underwriting, risk assessment, cross-sell opportunities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text with common occupation suggestions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scheme identification, commercial cross-sell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text, linkable to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 Band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Affordability assessment, product suitability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Under R10k, R10k-R25k, R25k-R50k, R50k-R100k, Above R100k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Non-SA clients need different documentation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South African, Other (with text field)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Passport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foreign nationals for FICA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field, conditional on nationality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ID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Asylum seeker permit, work permit, etc.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 with reference number field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Contact Relationships and Groupings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Contacts can be linked to one account via related_account_id, and accounts have one main_contact_id. Contact types (Trustee, Director, etc.) exist as classification labels but not as relational links.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Family / household grouping - Cannot link a spouse, children, or dependants to a primary client for personal lines bundling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Multi-role contacts on accounts - Cannot designate separate claims contact, billing contact, operational contact on the same account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Contact-to-contact relationships - Cannot model spouse, parent-child, business partner, trustee-beneficiary relationships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Multi-account membership - A contact can only belong to one account via the single related_account_id FK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Recommended solution: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 a contact_relationships table: contact_id, related_contact_id, relationship_type (Spouse, Child, Parent, Business Partner, Director, Trustee, Beneficiary, Other)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 an account_contacts junction table: account_id, contact_id, role (Primary, Claims, Billing, Operations, Signatory, Other) - replaces the single main_contact_id pattern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 household_group_id to contacts to enable household grouping for personal lines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4.4 Policy Payment and Administrative Fields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Policies capture product and cover details well but lack the administrative fields brokers need for daily management.</w:t>
      </w:r>
    </w:p>
    <w:p>
      <w:pPr>
        <w:spacing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7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premium_frequency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Monthly, Quarterly, Bi-Annual, Annual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debit_order_date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of month for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broker_of_record_date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requirement - when mandate was given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mandate_type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Recurring debit order vs one-time 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policy_schedule_version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amendments to policy wording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broker_reference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code for the broker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co_insured_parties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insured parties on the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special_conditions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Non-standard policy conditions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</w:pPr>
      <w:r>
        <w:t xml:space="preserve">4.5 Communication Preferences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Only basic contact channels exist (email, mobile, work number). No mechanism to record how, when, or in what language the client prefers to be contacted.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Recommended fields to add to contacts: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preferred_contact_method - Enum: Phone, Email, WhatsApp, SMS, In Person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preferred_language - Enum: English, Afrikaans, Zulu, Xhosa, Sotho, Tswana, Other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best_time_to_call - Enum: Morning, Afternoon, Evening, Anytime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whatsapp_number - Text (widely used by SA brokers)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do_not_contact_flag - Boolean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marketing_opt_in - Boolean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correspondence_preference - Enum: Email, Post, Both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4.6 Address 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Addresses are stored as single free-text fields (physical_address and postal_address). This prevents structured searching, reporting by area, and risk-based geographic analysis.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Recommended structured fields: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street_address - Street number and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complex_building - Complex or building name (optional)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suburb - Important for area-based risk rating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city - City or town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province - SA province (9 options)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postal_code - 4-digit SA postal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country - Default: South Africa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gps_latitude / gps_longitude - For risk assessment mapping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Consider a separate addresses table to support multiple addresses per contact or account (residential, work, postal, branch locations).</w:t>
      </w:r>
    </w:p>
    <w:p>
      <w:r>
        <w:br w:type="page"/>
      </w:r>
    </w:p>
    <w:p>
      <w:pPr>
        <w:pStyle w:val="Heading2"/>
      </w:pPr>
      <w:r>
        <w:t xml:space="preserve">4.7 Data Import Capability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No import functionality exists. All client data must be entered manually through the UI. This is a dealbreaker for any broker with an existing portfolio.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 a CSV import endpoint with column mapping for contacts, accounts, and policies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 Excel (.xlsx) file upload and parsing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Include validation with error reporting before commit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Provide template CSV files for each entity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 duplicate detection during import (match on SA ID, email, or phone)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Log all imports in the audit trail for compliance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4.8 Duplicate Detection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Current state: </w:t>
      </w:r>
      <w:r>
        <w:rPr>
          <w:rFonts w:ascii="Arial" w:cs="Arial" w:eastAsia="Arial" w:hAnsi="Arial"/>
          <w:sz w:val="20"/>
          <w:szCs w:val="20"/>
        </w:rPr>
        <w:t xml:space="preserve">No deduplication mechanism. The database allows duplicate SA ID numbers, names, and contact details without warning. Data quality will degrade with multiple users.</w:t>
      </w:r>
    </w:p>
    <w:p>
      <w:pPr>
        <w:spacing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 UNIQUE constraint on sa_id_number (where not null)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 pre-save duplicate check: match on SA ID, then fuzzy match on name + DOB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Show warning modal when potential duplicates are detected during creation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 a duplicate merge tool for identified duplicates (preserve audit trail of merge)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 a scheduled duplicate scan report</w:t>
      </w:r>
    </w:p>
    <w:p>
      <w:r>
        <w:br w:type="page"/>
      </w:r>
    </w:p>
    <w:p>
      <w:pPr>
        <w:pStyle w:val="Heading1"/>
      </w:pPr>
      <w:r>
        <w:t xml:space="preserve">5. Medium Priority Gaps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5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bulk 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mass-update broker assignments, statuses, or segments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multi-select with batch update on list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trading name vs registered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 in SA commercial: trading name differs from CIPC registration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trading_name field to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BEE level on accounts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many commercial clients and tenders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bee_level enum to accounts (Level 1-8, Non-Compliant, Exempt)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cross-module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search contacts + policies + claims in one query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global search endpoint spanning all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saved searches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Brokers repeat the same filter combinations daily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saved_filters table with user-specific presets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review-due 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Dates tracked but no automated notifications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dashboard widget for overdue and upcoming 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client portfolio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see total premium per client across all policies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portfolio aggregation view on contact/account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client notes timeline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are a single text field, not a time-based log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notes to a notes table with timestamps and user attribution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Implementation Roadmap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Prioritised into three phases based on what a broker needs before they can use the system for daily client data management.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Phase 1: Must-Have Before Go-Live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Make the system usable as a primary client data store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2-3 development sessions</w:t>
      </w:r>
    </w:p>
    <w:p>
      <w:pPr>
        <w:spacing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600"/>
        <w:gridCol w:w="31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personal data fields to contacts (title, gender, language, marital, occupation)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+ UI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banking/payment fields to policies (payment method, frequency, DO date)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+ UI + 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broker of record date to policies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+ UI field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CSV import for contacts and accounts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 + upload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duplicate detection on SA ID 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Pre-save check + warning modal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</w:pPr>
      <w:r>
        <w:t xml:space="preserve">Phase 2: Needed Within First Month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Enable proper relationship management and communication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3-4 development sessions</w:t>
      </w:r>
    </w:p>
    <w:p>
      <w:pPr>
        <w:spacing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600"/>
        <w:gridCol w:w="31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address fields (suburb, city, province, postal code)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+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Contact-to-contact relationships (spouse, dependant, director)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table + relationship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contact roles per account (claims, billing, operations)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Junction table + account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preferences (method, language, 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+ UI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global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search endpoint + UI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</w:pPr>
      <w:r>
        <w:t xml:space="preserve">Phase 3: Quality of Life Improvements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Enhance daily productivity and data quality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2-3 development sessions</w:t>
      </w:r>
    </w:p>
    <w:p>
      <w:pPr>
        <w:spacing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600"/>
        <w:gridCol w:w="31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search filters and filter presets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table + UI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Bulk operations (mass assign, mass status update)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+ batch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portfolio summary (total premium, policy count, claims)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 view on detail pages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Review-due automated alerts and dashboard widget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notification logic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Inexpro CRM has a structurally sound foundation for client data management. The entity relationships are well-designed, referential integrity is maintained throughout, and the asset/risk detail module is exceptionally comprehensive for a broker-built system.</w:t>
      </w:r>
    </w:p>
    <w:p>
      <w:pPr>
        <w:spacing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However, for a broker to use this as their sole client data system today, the following must be addressed first:</w:t>
      </w:r>
    </w:p>
    <w:p>
      <w:pPr>
        <w:spacing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00000" w:sz="12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Go-Live Blockers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personal data fields (title, gender, language, marital status, occupation) to the contacts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banking and payment fields (payment method, debit order date, premium frequency) to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CSV import tool for initial data migration from existing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basic duplicate detection on SA ID numbers and email addresses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broker of record date to policies (regulatory requirement)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Phase 1 is complete, the system moves from approximately 70% to approximately 85% completeness for daily client data use. Phases 2 and 3 bring it to a fully-featured client management platform competitive with commercial broker management systems.</w:t>
      </w:r>
    </w:p>
    <w:p>
      <w:pPr>
        <w:spacing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color w:val="ED7D31"/>
                <w:sz w:val="24"/>
                <w:szCs w:val="24"/>
              </w:rPr>
              <w:t xml:space="preserve">██████████████</w:t>
            </w:r>
            <w:r>
              <w:rPr>
                <w:rFonts w:ascii="Consolas" w:cs="Consolas" w:eastAsia="Consolas" w:hAnsi="Consolas"/>
                <w:color w:val="CCCCCC"/>
                <w:sz w:val="24"/>
                <w:szCs w:val="24"/>
              </w:rPr>
              <w:t xml:space="preserve">░░░░░░</w:t>
            </w:r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 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color w:val="548235"/>
                <w:sz w:val="24"/>
                <w:szCs w:val="24"/>
              </w:rPr>
              <w:t xml:space="preserve">█████████████████</w:t>
            </w:r>
            <w:r>
              <w:rPr>
                <w:rFonts w:ascii="Consolas" w:cs="Consolas" w:eastAsia="Consolas" w:hAnsi="Consolas"/>
                <w:color w:val="CCCCCC"/>
                <w:sz w:val="24"/>
                <w:szCs w:val="24"/>
              </w:rPr>
              <w:t xml:space="preserve">░░░</w:t>
            </w: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  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color w:val="548235"/>
                <w:sz w:val="24"/>
                <w:szCs w:val="24"/>
              </w:rPr>
              <w:t xml:space="preserve">██████████████████</w:t>
            </w:r>
            <w:r>
              <w:rPr>
                <w:rFonts w:ascii="Consolas" w:cs="Consolas" w:eastAsia="Consolas" w:hAnsi="Consolas"/>
                <w:color w:val="CCCCCC"/>
                <w:sz w:val="24"/>
                <w:szCs w:val="24"/>
              </w:rPr>
              <w:t xml:space="preserve">░░</w:t>
            </w: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  92%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5-7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color w:val="548235"/>
                <w:sz w:val="24"/>
                <w:szCs w:val="24"/>
              </w:rPr>
              <w:t xml:space="preserve">███████████████████</w:t>
            </w:r>
            <w:r>
              <w:rPr>
                <w:rFonts w:ascii="Consolas" w:cs="Consolas" w:eastAsia="Consolas" w:hAnsi="Consolas"/>
                <w:color w:val="CCCCCC"/>
                <w:sz w:val="24"/>
                <w:szCs w:val="24"/>
              </w:rPr>
              <w:t xml:space="preserve">░</w:t>
            </w: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  97%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7-10 sessions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404040"/>
        <w:sz w:val="16"/>
        <w:szCs w:val="16"/>
      </w:rPr>
      <w:t xml:space="preserve">Internal Use  |  Page </w:t>
    </w:r>
    <w:r>
      <w:rPr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Inexpro CRM Client Data Completeness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2026-04-12T10:24:49.787Z</dcterms:created>
  <dcterms:modified xsi:type="dcterms:W3CDTF">2026-04-12T10:24:49.788Z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