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pBdr>
          <w:bottom w:val="single" w:color="2E75B6" w:sz="18" w:space="8"/>
        </w:pBdr>
        <w:spacing w:after="300"/>
      </w:pPr>
      <w:r>
        <w:rPr>
          <w:rFonts w:ascii="Arial" w:cs="Arial" w:eastAsia="Arial" w:hAnsi="Arial"/>
          <w:b/>
          <w:bCs/>
          <w:color w:val="1F4E79"/>
          <w:sz w:val="56"/>
          <w:szCs w:val="56"/>
        </w:rPr>
        <w:t xml:space="preserve">INEXPRO CRM</w:t>
      </w:r>
    </w:p>
    <w:p>
      <w:pPr>
        <w:spacing w:after="600"/>
      </w:pPr>
      <w:r>
        <w:rPr>
          <w:rFonts w:ascii="Arial" w:cs="Arial" w:eastAsia="Arial" w:hAnsi="Arial"/>
          <w:color w:val="2E75B6"/>
          <w:sz w:val="44"/>
          <w:szCs w:val="44"/>
        </w:rPr>
        <w:t xml:space="preserve">Compliance Evaluation Report</w:t>
      </w:r>
    </w:p>
    <w:p>
      <w:r>
        <w:rPr>
          <w:rFonts w:ascii="Arial" w:cs="Arial" w:eastAsia="Arial" w:hAnsi="Arial"/>
          <w:color w:val="404040"/>
          <w:sz w:val="24"/>
          <w:szCs w:val="24"/>
        </w:rPr>
        <w:t xml:space="preserve">Evaluation Against South African Short-Term Insurance Broker</w:t>
      </w:r>
    </w:p>
    <w:p>
      <w:pPr>
        <w:spacing w:after="600"/>
      </w:pPr>
      <w:r>
        <w:rPr>
          <w:rFonts w:ascii="Arial" w:cs="Arial" w:eastAsia="Arial" w:hAnsi="Arial"/>
          <w:color w:val="404040"/>
          <w:sz w:val="24"/>
          <w:szCs w:val="24"/>
        </w:rPr>
        <w:t xml:space="preserve">Regulatory Requirements and the Upcoming COFI Act</w:t>
      </w:r>
    </w:p>
    <w:p>
      <w:pPr>
        <w:pBdr>
          <w:bottom w:val="single" w:color="2E75B6" w:sz="6" w:space="1"/>
        </w:pBdr>
        <w:spacing w:after="200"/>
      </w:pPr>
      <w:r>
        <w:t xml:space="preserve"/>
      </w:r>
    </w:p>
    <w:p>
      <w:pPr>
        <w:spacing w:after="0" w:before="20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Pr>
          <w:p>
            <w:r>
              <w:rPr>
                <w:b/>
                <w:bCs/>
                <w:color w:val="404040"/>
                <w:sz w:val="20"/>
                <w:szCs w:val="20"/>
              </w:rPr>
              <w:t xml:space="preserve">Date:</w:t>
            </w:r>
          </w:p>
        </w:tc>
        <w:tc>
          <w:tcPr>
            <w:tcW w:type="dxa" w:w="3000"/>
            <w:tcBorders>
              <w:top w:val="none" w:sz="0"/>
              <w:left w:val="none" w:sz="0"/>
              <w:bottom w:val="none" w:sz="0"/>
              <w:right w:val="none" w:sz="0"/>
            </w:tcBorders>
          </w:tcPr>
          <w:p>
            <w:r>
              <w:rPr>
                <w:color w:val="404040"/>
                <w:sz w:val="20"/>
                <w:szCs w:val="20"/>
              </w:rPr>
              <w:t xml:space="preserve">12 April 2026</w:t>
            </w:r>
          </w:p>
        </w:tc>
      </w:tr>
      <w:tr>
        <w:tc>
          <w:tcPr>
            <w:tcW w:type="dxa" w:w="2000"/>
            <w:tcBorders>
              <w:top w:val="none" w:sz="0"/>
              <w:left w:val="none" w:sz="0"/>
              <w:bottom w:val="none" w:sz="0"/>
              <w:right w:val="none" w:sz="0"/>
            </w:tcBorders>
          </w:tcPr>
          <w:p>
            <w:r>
              <w:rPr>
                <w:b/>
                <w:bCs/>
                <w:color w:val="404040"/>
                <w:sz w:val="20"/>
                <w:szCs w:val="20"/>
              </w:rPr>
              <w:t xml:space="preserve">Prepared for:</w:t>
            </w:r>
          </w:p>
        </w:tc>
        <w:tc>
          <w:tcPr>
            <w:tcW w:type="dxa" w:w="3000"/>
            <w:tcBorders>
              <w:top w:val="none" w:sz="0"/>
              <w:left w:val="none" w:sz="0"/>
              <w:bottom w:val="none" w:sz="0"/>
              <w:right w:val="none" w:sz="0"/>
            </w:tcBorders>
          </w:tcPr>
          <w:p>
            <w:r>
              <w:rPr>
                <w:color w:val="404040"/>
                <w:sz w:val="20"/>
                <w:szCs w:val="20"/>
              </w:rPr>
              <w:t xml:space="preserve">Inexpro Advisory</w:t>
            </w:r>
          </w:p>
        </w:tc>
      </w:tr>
      <w:tr>
        <w:tc>
          <w:tcPr>
            <w:tcW w:type="dxa" w:w="2000"/>
            <w:tcBorders>
              <w:top w:val="none" w:sz="0"/>
              <w:left w:val="none" w:sz="0"/>
              <w:bottom w:val="none" w:sz="0"/>
              <w:right w:val="none" w:sz="0"/>
            </w:tcBorders>
          </w:tcPr>
          <w:p>
            <w:r>
              <w:rPr>
                <w:b/>
                <w:bCs/>
                <w:color w:val="404040"/>
                <w:sz w:val="20"/>
                <w:szCs w:val="20"/>
              </w:rPr>
              <w:t xml:space="preserve">Version:</w:t>
            </w:r>
          </w:p>
        </w:tc>
        <w:tc>
          <w:tcPr>
            <w:tcW w:type="dxa" w:w="3000"/>
            <w:tcBorders>
              <w:top w:val="none" w:sz="0"/>
              <w:left w:val="none" w:sz="0"/>
              <w:bottom w:val="none" w:sz="0"/>
              <w:right w:val="none" w:sz="0"/>
            </w:tcBorders>
          </w:tcPr>
          <w:p>
            <w:r>
              <w:rPr>
                <w:color w:val="404040"/>
                <w:sz w:val="20"/>
                <w:szCs w:val="20"/>
              </w:rPr>
              <w:t xml:space="preserve">1.0</w:t>
            </w:r>
          </w:p>
        </w:tc>
      </w:tr>
      <w:tr>
        <w:tc>
          <w:tcPr>
            <w:tcW w:type="dxa" w:w="2000"/>
            <w:tcBorders>
              <w:top w:val="none" w:sz="0"/>
              <w:left w:val="none" w:sz="0"/>
              <w:bottom w:val="none" w:sz="0"/>
              <w:right w:val="none" w:sz="0"/>
            </w:tcBorders>
          </w:tcPr>
          <w:p>
            <w:r>
              <w:rPr>
                <w:b/>
                <w:bCs/>
                <w:color w:val="404040"/>
                <w:sz w:val="20"/>
                <w:szCs w:val="20"/>
              </w:rPr>
              <w:t xml:space="preserve">Classification:</w:t>
            </w:r>
          </w:p>
        </w:tc>
        <w:tc>
          <w:tcPr>
            <w:tcW w:type="dxa" w:w="3000"/>
            <w:tcBorders>
              <w:top w:val="none" w:sz="0"/>
              <w:left w:val="none" w:sz="0"/>
              <w:bottom w:val="none" w:sz="0"/>
              <w:right w:val="none" w:sz="0"/>
            </w:tcBorders>
          </w:tcPr>
          <w:p>
            <w:r>
              <w:rPr>
                <w:color w:val="404040"/>
                <w:sz w:val="20"/>
                <w:szCs w:val="20"/>
              </w:rPr>
              <w:t xml:space="preserve">Confidential</w:t>
            </w:r>
          </w:p>
        </w:tc>
      </w:tr>
    </w:tbl>
    <w:p>
      <w:pPr>
        <w:sectPr>
          <w:pgSz w:w="12240" w:h="15840" w:orient="portrait"/>
          <w:pgMar w:top="1440" w:right="1260" w:bottom="1440" w:left="126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rPr>
          <w:sz w:val="20"/>
          <w:szCs w:val="20"/>
        </w:rPr>
        <w:t xml:space="preserve">This report evaluates the Inexpro CRM platform against the full spectrum of compliance requirements applicable to South African short-term insurance brokers. The evaluation covers current legislation (FAIS Act, Short-Term Insurance Act, POPIA, FICA, TCF framework, Policyholder Protection Rules) and the upcoming Conduct of Financial Institutions (COFI) Act.</w:t>
      </w:r>
    </w:p>
    <w:p>
      <w:pPr>
        <w:spacing w:after="160"/>
      </w:pPr>
      <w:r>
        <w:rPr>
          <w:sz w:val="20"/>
          <w:szCs w:val="20"/>
        </w:rPr>
        <w:t xml:space="preserve">The platform demonstrates strong compliance foundations in advisory process management, record of advice, gap analysis, audit trails, complaints handling, and claims management. However, several critical gaps exist in commission disclosure, conflict of interest management, FICA verification substance, and POPIA rights management that require immediate attention.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D7D31" w:sz="12"/>
              <w:left w:val="none" w:sz="0"/>
              <w:bottom w:val="none" w:sz="0"/>
              <w:right w:val="none" w:sz="0"/>
            </w:tcBorders>
            <w:shd w:fill="FFF8E1" w:val="clear"/>
            <w:tcMar>
              <w:top w:type="dxa" w:w="120"/>
              <w:left w:type="dxa" w:w="200"/>
              <w:bottom w:type="dxa" w:w="120"/>
              <w:right w:type="dxa" w:w="200"/>
            </w:tcMar>
          </w:tcPr>
          <w:p>
            <w:pPr>
              <w:spacing w:after="80"/>
            </w:pPr>
            <w:r>
              <w:rPr>
                <w:rFonts w:ascii="Arial" w:cs="Arial" w:eastAsia="Arial" w:hAnsi="Arial"/>
                <w:b/>
                <w:bCs/>
                <w:color w:val="ED7D31"/>
                <w:sz w:val="22"/>
                <w:szCs w:val="22"/>
              </w:rPr>
              <w:t xml:space="preserve">Key Findings at a Glance</w:t>
            </w:r>
          </w:p>
          <w:p>
            <w:pPr>
              <w:pStyle w:val="ListParagraph"/>
              <w:numPr>
                <w:ilvl w:val="0"/>
                <w:numId w:val="2"/>
              </w:numPr>
              <w:spacing w:after="40" w:before="40"/>
            </w:pPr>
            <w:r>
              <w:rPr>
                <w:rFonts w:ascii="Arial" w:cs="Arial" w:eastAsia="Arial" w:hAnsi="Arial"/>
                <w:sz w:val="20"/>
                <w:szCs w:val="20"/>
              </w:rPr>
              <w:t xml:space="preserve">6 critical gaps requiring immediate remediation (legal non-compliance risk)</w:t>
            </w:r>
          </w:p>
          <w:p>
            <w:pPr>
              <w:pStyle w:val="ListParagraph"/>
              <w:numPr>
                <w:ilvl w:val="0"/>
                <w:numId w:val="2"/>
              </w:numPr>
              <w:spacing w:after="40" w:before="40"/>
            </w:pPr>
            <w:r>
              <w:rPr>
                <w:rFonts w:ascii="Arial" w:cs="Arial" w:eastAsia="Arial" w:hAnsi="Arial"/>
                <w:sz w:val="20"/>
                <w:szCs w:val="20"/>
              </w:rPr>
              <w:t xml:space="preserve">5 high-priority gaps for COFI readiness</w:t>
            </w:r>
          </w:p>
          <w:p>
            <w:pPr>
              <w:pStyle w:val="ListParagraph"/>
              <w:numPr>
                <w:ilvl w:val="0"/>
                <w:numId w:val="2"/>
              </w:numPr>
              <w:spacing w:after="40" w:before="40"/>
            </w:pPr>
            <w:r>
              <w:rPr>
                <w:rFonts w:ascii="Arial" w:cs="Arial" w:eastAsia="Arial" w:hAnsi="Arial"/>
                <w:sz w:val="20"/>
                <w:szCs w:val="20"/>
              </w:rPr>
              <w:t xml:space="preserve">6 medium-priority improvements for operational compliance maturity</w:t>
            </w:r>
          </w:p>
          <w:p>
            <w:pPr>
              <w:pStyle w:val="ListParagraph"/>
              <w:numPr>
                <w:ilvl w:val="0"/>
                <w:numId w:val="2"/>
              </w:numPr>
              <w:spacing w:after="40" w:before="40"/>
            </w:pPr>
            <w:r>
              <w:rPr>
                <w:rFonts w:ascii="Arial" w:cs="Arial" w:eastAsia="Arial" w:hAnsi="Arial"/>
                <w:sz w:val="20"/>
                <w:szCs w:val="20"/>
              </w:rPr>
              <w:t xml:space="preserve">2 COFI-specific preparations for the transition period</w:t>
            </w:r>
          </w:p>
        </w:tc>
      </w:tr>
    </w:tbl>
    <w:p>
      <w:pPr>
        <w:spacing w:after="0" w:before="120"/>
      </w:pPr>
      <w:r>
        <w:t xml:space="preserve"/>
      </w:r>
    </w:p>
    <w:p>
      <w:r>
        <w:rPr>
          <w:sz w:val="20"/>
          <w:szCs w:val="20"/>
        </w:rPr>
        <w:t xml:space="preserve">The platform architecture (Node.js/Express with SQLite) is well-suited for a broker-scale operation. The schema design demonstrates a compliance-first approach, with regulatory requirements embedded into data structures rather than bolted on as afterthoughts. This positions Inexpro well for the COFI transition, provided the identified gaps are addressed.</w:t>
      </w:r>
    </w:p>
    <w:p>
      <w:r>
        <w:br w:type="page"/>
      </w:r>
    </w:p>
    <w:p>
      <w:pPr>
        <w:pStyle w:val="Heading1"/>
      </w:pPr>
      <w:r>
        <w:t xml:space="preserve">2. Regulatory Framework Assessed</w:t>
      </w:r>
    </w:p>
    <w:p>
      <w:pPr>
        <w:spacing w:after="120"/>
      </w:pPr>
      <w:r>
        <w:rPr>
          <w:sz w:val="20"/>
          <w:szCs w:val="20"/>
        </w:rPr>
        <w:t xml:space="preserve">The following legislation and regulatory frameworks form the basis of this evaluation: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200"/>
        <w:gridCol w:w="5520"/>
      </w:tblGrid>
      <w:tr>
        <w:tc>
          <w:tcPr>
            <w:tcW w:type="dxa" w:w="4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Legislation / Framework</w:t>
            </w:r>
          </w:p>
        </w:tc>
        <w:tc>
          <w:tcPr>
            <w:tcW w:type="dxa" w:w="55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Key Relevance to Brokers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FAIS Act 37 of 2002</w:t>
            </w:r>
          </w:p>
        </w:tc>
        <w:tc>
          <w:tcPr>
            <w:tcW w:type="dxa" w:w="5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Licensing, advice standards, record-keeping, compliance function</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shd/>
              </w:rPr>
              <w:t xml:space="preserve">FAIS General Code of Conduct</w:t>
            </w:r>
          </w:p>
        </w:tc>
        <w:tc>
          <w:tcPr>
            <w:tcW w:type="dxa" w:w="5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Needs analysis (s8), Record of Advice (s9), disclosure (s4), conflicts (s16)</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Short-Term Insurance Act 53/1998</w:t>
            </w:r>
          </w:p>
        </w:tc>
        <w:tc>
          <w:tcPr>
            <w:tcW w:type="dxa" w:w="5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Intermediary obligations, premium handling, binder agreements</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shd/>
              </w:rPr>
              <w:t xml:space="preserve">Policyholder Protection Rules</w:t>
            </w:r>
          </w:p>
        </w:tc>
        <w:tc>
          <w:tcPr>
            <w:tcW w:type="dxa" w:w="5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Product design, cooling-off, claims management, complaints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COFI Bill (upcoming)</w:t>
            </w:r>
          </w:p>
        </w:tc>
        <w:tc>
          <w:tcPr>
            <w:tcW w:type="dxa" w:w="5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Activity-based licensing, governance framework, fair treatment codification</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shd/>
              </w:rPr>
              <w:t xml:space="preserve">POPIA (Act 4 of 2013)</w:t>
            </w:r>
          </w:p>
        </w:tc>
        <w:tc>
          <w:tcPr>
            <w:tcW w:type="dxa" w:w="5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8 conditions for lawful processing, data subject rights, breach notification</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FICA (Act 38 of 2001)</w:t>
            </w:r>
          </w:p>
        </w:tc>
        <w:tc>
          <w:tcPr>
            <w:tcW w:type="dxa" w:w="5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KYC/CDD, PEP screening, suspicious transaction reporting, beneficial ownership</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shd/>
              </w:rPr>
              <w:t xml:space="preserve">TCF Framework</w:t>
            </w:r>
          </w:p>
        </w:tc>
        <w:tc>
          <w:tcPr>
            <w:tcW w:type="dxa" w:w="5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6 fair treatment outcomes across the product lifecycle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Fit and Proper (BN 194 of 2017)</w:t>
            </w:r>
          </w:p>
        </w:tc>
        <w:tc>
          <w:tcPr>
            <w:tcW w:type="dxa" w:w="5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Honesty, competency, operational ability, financial soundness</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shd/>
              </w:rPr>
              <w:t xml:space="preserve">Board Notice 58 of 2010</w:t>
            </w:r>
          </w:p>
        </w:tc>
        <w:tc>
          <w:tcPr>
            <w:tcW w:type="dxa" w:w="5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Conflict of interest management policy and register</w:t>
            </w:r>
          </w:p>
        </w:tc>
      </w:tr>
    </w:tbl>
    <w:p>
      <w:r>
        <w:br w:type="page"/>
      </w:r>
    </w:p>
    <w:p>
      <w:pPr>
        <w:pStyle w:val="Heading1"/>
      </w:pPr>
      <w:r>
        <w:t xml:space="preserve">3. Current Platform Strengths</w:t>
      </w:r>
    </w:p>
    <w:p>
      <w:pPr>
        <w:spacing w:after="200"/>
      </w:pPr>
      <w:r>
        <w:rPr>
          <w:sz w:val="20"/>
          <w:szCs w:val="20"/>
        </w:rPr>
        <w:t xml:space="preserve">The Inexpro CRM platform demonstrates strong compliance foundations across several critical regulatory areas. These strengths represent significant competitive advantages and a solid base for COFI readiness.</w:t>
      </w:r>
    </w:p>
    <w:p>
      <w:pPr>
        <w:pStyle w:val="Heading2"/>
      </w:pPr>
      <w:r>
        <w:t xml:space="preserve">3.1 Record of Advice (FAIS Section 9)</w:t>
      </w:r>
    </w:p>
    <w:p>
      <w:pPr>
        <w:spacing w:after="80"/>
      </w:pPr>
      <w:r>
        <w:rPr>
          <w:b/>
          <w:bCs/>
          <w:color w:val="548235"/>
          <w:sz w:val="20"/>
          <w:szCs w:val="20"/>
        </w:rPr>
        <w:t xml:space="preserve">Assessment: Comprehensive</w:t>
      </w:r>
    </w:p>
    <w:p>
      <w:r>
        <w:rPr>
          <w:sz w:val="20"/>
          <w:szCs w:val="20"/>
        </w:rPr>
        <w:t xml:space="preserve">The advice_records table captures all elements required by FAIS s9, including:</w:t>
      </w:r>
    </w:p>
    <w:p>
      <w:pPr>
        <w:pStyle w:val="ListParagraph"/>
        <w:numPr>
          <w:ilvl w:val="0"/>
          <w:numId w:val="2"/>
        </w:numPr>
        <w:spacing w:after="40" w:before="40"/>
      </w:pPr>
      <w:r>
        <w:rPr>
          <w:rFonts w:ascii="Arial" w:cs="Arial" w:eastAsia="Arial" w:hAnsi="Arial"/>
          <w:sz w:val="20"/>
          <w:szCs w:val="20"/>
        </w:rPr>
        <w:t xml:space="preserve">Client needs identified and risk analysis summary (required fields)</w:t>
      </w:r>
    </w:p>
    <w:p>
      <w:pPr>
        <w:pStyle w:val="ListParagraph"/>
        <w:numPr>
          <w:ilvl w:val="0"/>
          <w:numId w:val="2"/>
        </w:numPr>
        <w:spacing w:after="40" w:before="40"/>
      </w:pPr>
      <w:r>
        <w:rPr>
          <w:rFonts w:ascii="Arial" w:cs="Arial" w:eastAsia="Arial" w:hAnsi="Arial"/>
          <w:sz w:val="20"/>
          <w:szCs w:val="20"/>
        </w:rPr>
        <w:t xml:space="preserve">Current cover considered and shortfalls identified</w:t>
      </w:r>
    </w:p>
    <w:p>
      <w:pPr>
        <w:pStyle w:val="ListParagraph"/>
        <w:numPr>
          <w:ilvl w:val="0"/>
          <w:numId w:val="2"/>
        </w:numPr>
        <w:spacing w:after="40" w:before="40"/>
      </w:pPr>
      <w:r>
        <w:rPr>
          <w:rFonts w:ascii="Arial" w:cs="Arial" w:eastAsia="Arial" w:hAnsi="Arial"/>
          <w:sz w:val="20"/>
          <w:szCs w:val="20"/>
        </w:rPr>
        <w:t xml:space="preserve">Recommendation given with rationale for product suitability</w:t>
      </w:r>
    </w:p>
    <w:p>
      <w:pPr>
        <w:pStyle w:val="ListParagraph"/>
        <w:numPr>
          <w:ilvl w:val="0"/>
          <w:numId w:val="2"/>
        </w:numPr>
        <w:spacing w:after="40" w:before="40"/>
      </w:pPr>
      <w:r>
        <w:rPr>
          <w:rFonts w:ascii="Arial" w:cs="Arial" w:eastAsia="Arial" w:hAnsi="Arial"/>
          <w:sz w:val="20"/>
          <w:szCs w:val="20"/>
        </w:rPr>
        <w:t xml:space="preserve">Alternative options considered</w:t>
      </w:r>
    </w:p>
    <w:p>
      <w:pPr>
        <w:pStyle w:val="ListParagraph"/>
        <w:numPr>
          <w:ilvl w:val="0"/>
          <w:numId w:val="2"/>
        </w:numPr>
        <w:spacing w:after="40" w:before="40"/>
      </w:pPr>
      <w:r>
        <w:rPr>
          <w:rFonts w:ascii="Arial" w:cs="Arial" w:eastAsia="Arial" w:hAnsi="Arial"/>
          <w:sz w:val="20"/>
          <w:szCs w:val="20"/>
        </w:rPr>
        <w:t xml:space="preserve">Consequences of not proceeding</w:t>
      </w:r>
    </w:p>
    <w:p>
      <w:pPr>
        <w:pStyle w:val="ListParagraph"/>
        <w:numPr>
          <w:ilvl w:val="0"/>
          <w:numId w:val="2"/>
        </w:numPr>
        <w:spacing w:after="40" w:before="40"/>
      </w:pPr>
      <w:r>
        <w:rPr>
          <w:rFonts w:ascii="Arial" w:cs="Arial" w:eastAsia="Arial" w:hAnsi="Arial"/>
          <w:sz w:val="20"/>
          <w:szCs w:val="20"/>
        </w:rPr>
        <w:t xml:space="preserve">Full disclosure tracking: risks, costs, excess, waiting periods, limitations, exclusions</w:t>
      </w:r>
    </w:p>
    <w:p>
      <w:pPr>
        <w:pStyle w:val="ListParagraph"/>
        <w:numPr>
          <w:ilvl w:val="0"/>
          <w:numId w:val="2"/>
        </w:numPr>
        <w:spacing w:after="40" w:before="40"/>
      </w:pPr>
      <w:r>
        <w:rPr>
          <w:rFonts w:ascii="Arial" w:cs="Arial" w:eastAsia="Arial" w:hAnsi="Arial"/>
          <w:sz w:val="20"/>
          <w:szCs w:val="20"/>
        </w:rPr>
        <w:t xml:space="preserve">Client understanding confirmed</w:t>
      </w:r>
    </w:p>
    <w:p>
      <w:pPr>
        <w:pStyle w:val="ListParagraph"/>
        <w:numPr>
          <w:ilvl w:val="0"/>
          <w:numId w:val="2"/>
        </w:numPr>
        <w:spacing w:after="40" w:before="40"/>
      </w:pPr>
      <w:r>
        <w:rPr>
          <w:rFonts w:ascii="Arial" w:cs="Arial" w:eastAsia="Arial" w:hAnsi="Arial"/>
          <w:sz w:val="20"/>
          <w:szCs w:val="20"/>
        </w:rPr>
        <w:t xml:space="preserve">Fair outcome consideration (TCF alignment)</w:t>
      </w:r>
    </w:p>
    <w:p>
      <w:pPr>
        <w:pStyle w:val="ListParagraph"/>
        <w:numPr>
          <w:ilvl w:val="0"/>
          <w:numId w:val="2"/>
        </w:numPr>
        <w:spacing w:after="40" w:before="40"/>
      </w:pPr>
      <w:r>
        <w:rPr>
          <w:rFonts w:ascii="Arial" w:cs="Arial" w:eastAsia="Arial" w:hAnsi="Arial"/>
          <w:sz w:val="20"/>
          <w:szCs w:val="20"/>
        </w:rPr>
        <w:t xml:space="preserve">Client decision with date and notes</w:t>
      </w:r>
    </w:p>
    <w:p>
      <w:pPr>
        <w:pStyle w:val="ListParagraph"/>
        <w:numPr>
          <w:ilvl w:val="0"/>
          <w:numId w:val="2"/>
        </w:numPr>
        <w:spacing w:after="40" w:before="40"/>
      </w:pPr>
      <w:r>
        <w:rPr>
          <w:rFonts w:ascii="Arial" w:cs="Arial" w:eastAsia="Arial" w:hAnsi="Arial"/>
          <w:sz w:val="20"/>
          <w:szCs w:val="20"/>
        </w:rPr>
        <w:t xml:space="preserve">ROA document generation and client acknowledgement tracking</w:t>
      </w:r>
    </w:p>
    <w:p>
      <w:pPr>
        <w:spacing w:before="80"/>
      </w:pPr>
      <w:r>
        <w:rPr>
          <w:sz w:val="20"/>
          <w:szCs w:val="20"/>
        </w:rPr>
        <w:t xml:space="preserve">Auto-generated advice record numbers (AR-YYYYMMDD-XXXX) ensure unique, traceable records.</w:t>
      </w:r>
    </w:p>
    <w:p>
      <w:pPr>
        <w:pStyle w:val="Heading2"/>
      </w:pPr>
      <w:r>
        <w:t xml:space="preserve">3.2 Needs Analysis and Gap Analysis (FAIS Section 8)</w:t>
      </w:r>
    </w:p>
    <w:p>
      <w:pPr>
        <w:spacing w:after="80"/>
      </w:pPr>
      <w:r>
        <w:rPr>
          <w:b/>
          <w:bCs/>
          <w:color w:val="548235"/>
          <w:sz w:val="20"/>
          <w:szCs w:val="20"/>
        </w:rPr>
        <w:t xml:space="preserve">Assessment: Strong</w:t>
      </w:r>
    </w:p>
    <w:p>
      <w:r>
        <w:rPr>
          <w:sz w:val="20"/>
          <w:szCs w:val="20"/>
        </w:rPr>
        <w:t xml:space="preserve">The engagement pipeline enforces a structured advisory process with stage gates. Key features:</w:t>
      </w:r>
    </w:p>
    <w:p>
      <w:pPr>
        <w:pStyle w:val="ListParagraph"/>
        <w:numPr>
          <w:ilvl w:val="0"/>
          <w:numId w:val="2"/>
        </w:numPr>
        <w:spacing w:after="40" w:before="40"/>
      </w:pPr>
      <w:r>
        <w:rPr>
          <w:rFonts w:ascii="Arial" w:cs="Arial" w:eastAsia="Arial" w:hAnsi="Arial"/>
          <w:sz w:val="20"/>
          <w:szCs w:val="20"/>
        </w:rPr>
        <w:t xml:space="preserve">12-stage pipeline from Prospect through to Implemented/Active</w:t>
      </w:r>
    </w:p>
    <w:p>
      <w:pPr>
        <w:pStyle w:val="ListParagraph"/>
        <w:numPr>
          <w:ilvl w:val="0"/>
          <w:numId w:val="2"/>
        </w:numPr>
        <w:spacing w:after="40" w:before="40"/>
      </w:pPr>
      <w:r>
        <w:rPr>
          <w:rFonts w:ascii="Arial" w:cs="Arial" w:eastAsia="Arial" w:hAnsi="Arial"/>
          <w:sz w:val="20"/>
          <w:szCs w:val="20"/>
        </w:rPr>
        <w:t xml:space="preserve">Cannot advance past 'Advice Presented' unless disclosure completed AND client decision is 'Accepted'</w:t>
      </w:r>
    </w:p>
    <w:p>
      <w:pPr>
        <w:pStyle w:val="ListParagraph"/>
        <w:numPr>
          <w:ilvl w:val="0"/>
          <w:numId w:val="2"/>
        </w:numPr>
        <w:spacing w:after="40" w:before="40"/>
      </w:pPr>
      <w:r>
        <w:rPr>
          <w:rFonts w:ascii="Arial" w:cs="Arial" w:eastAsia="Arial" w:hAnsi="Arial"/>
          <w:sz w:val="20"/>
          <w:szCs w:val="20"/>
        </w:rPr>
        <w:t xml:space="preserve">Gap analysis at the policy-section level with severity ratings (Low/Medium/High/Critical)</w:t>
      </w:r>
    </w:p>
    <w:p>
      <w:pPr>
        <w:pStyle w:val="ListParagraph"/>
        <w:numPr>
          <w:ilvl w:val="0"/>
          <w:numId w:val="2"/>
        </w:numPr>
        <w:spacing w:after="40" w:before="40"/>
      </w:pPr>
      <w:r>
        <w:rPr>
          <w:rFonts w:ascii="Arial" w:cs="Arial" w:eastAsia="Arial" w:hAnsi="Arial"/>
          <w:sz w:val="20"/>
          <w:szCs w:val="20"/>
        </w:rPr>
        <w:t xml:space="preserve">Automatic gap identification when risk exists + recommended for cover + not yet implemented</w:t>
      </w:r>
    </w:p>
    <w:p>
      <w:pPr>
        <w:pStyle w:val="ListParagraph"/>
        <w:numPr>
          <w:ilvl w:val="0"/>
          <w:numId w:val="2"/>
        </w:numPr>
        <w:spacing w:after="40" w:before="40"/>
      </w:pPr>
      <w:r>
        <w:rPr>
          <w:rFonts w:ascii="Arial" w:cs="Arial" w:eastAsia="Arial" w:hAnsi="Arial"/>
          <w:sz w:val="20"/>
          <w:szCs w:val="20"/>
        </w:rPr>
        <w:t xml:space="preserve">Client acceptance/decline tracking with reasons</w:t>
      </w:r>
    </w:p>
    <w:p>
      <w:pPr>
        <w:pStyle w:val="ListParagraph"/>
        <w:numPr>
          <w:ilvl w:val="0"/>
          <w:numId w:val="2"/>
        </w:numPr>
        <w:spacing w:after="40" w:before="40"/>
      </w:pPr>
      <w:r>
        <w:rPr>
          <w:rFonts w:ascii="Arial" w:cs="Arial" w:eastAsia="Arial" w:hAnsi="Arial"/>
          <w:sz w:val="20"/>
          <w:szCs w:val="20"/>
        </w:rPr>
        <w:t xml:space="preserve">60+ asset-specific risk profiling fields across motor, property, contents, liability, marine, livestock, transit, and electronic equipment</w:t>
      </w:r>
    </w:p>
    <w:p>
      <w:pPr>
        <w:pStyle w:val="Heading2"/>
      </w:pPr>
      <w:r>
        <w:t xml:space="preserve">3.3 Audit Trail (FAIS Section 18)</w:t>
      </w:r>
    </w:p>
    <w:p>
      <w:pPr>
        <w:spacing w:after="80"/>
      </w:pPr>
      <w:r>
        <w:rPr>
          <w:b/>
          <w:bCs/>
          <w:color w:val="548235"/>
          <w:sz w:val="20"/>
          <w:szCs w:val="20"/>
        </w:rPr>
        <w:t xml:space="preserve">Assessment: Comprehensive</w:t>
      </w:r>
    </w:p>
    <w:p>
      <w:pPr>
        <w:pStyle w:val="ListParagraph"/>
        <w:numPr>
          <w:ilvl w:val="0"/>
          <w:numId w:val="2"/>
        </w:numPr>
        <w:spacing w:after="40" w:before="40"/>
      </w:pPr>
      <w:r>
        <w:rPr>
          <w:rFonts w:ascii="Arial" w:cs="Arial" w:eastAsia="Arial" w:hAnsi="Arial"/>
          <w:sz w:val="20"/>
          <w:szCs w:val="20"/>
        </w:rPr>
        <w:t xml:space="preserve">Full CREATE/UPDATE/DELETE/LOGIN/LOGOUT/EXPORT/EMAIL logging</w:t>
      </w:r>
    </w:p>
    <w:p>
      <w:pPr>
        <w:pStyle w:val="ListParagraph"/>
        <w:numPr>
          <w:ilvl w:val="0"/>
          <w:numId w:val="2"/>
        </w:numPr>
        <w:spacing w:after="40" w:before="40"/>
      </w:pPr>
      <w:r>
        <w:rPr>
          <w:rFonts w:ascii="Arial" w:cs="Arial" w:eastAsia="Arial" w:hAnsi="Arial"/>
          <w:sz w:val="20"/>
          <w:szCs w:val="20"/>
        </w:rPr>
        <w:t xml:space="preserve">Old and new values captured as JSON for every change</w:t>
      </w:r>
    </w:p>
    <w:p>
      <w:pPr>
        <w:pStyle w:val="ListParagraph"/>
        <w:numPr>
          <w:ilvl w:val="0"/>
          <w:numId w:val="2"/>
        </w:numPr>
        <w:spacing w:after="40" w:before="40"/>
      </w:pPr>
      <w:r>
        <w:rPr>
          <w:rFonts w:ascii="Arial" w:cs="Arial" w:eastAsia="Arial" w:hAnsi="Arial"/>
          <w:sz w:val="20"/>
          <w:szCs w:val="20"/>
        </w:rPr>
        <w:t xml:space="preserve">IP address and timestamp on every entry</w:t>
      </w:r>
    </w:p>
    <w:p>
      <w:pPr>
        <w:pStyle w:val="ListParagraph"/>
        <w:numPr>
          <w:ilvl w:val="0"/>
          <w:numId w:val="2"/>
        </w:numPr>
        <w:spacing w:after="40" w:before="40"/>
      </w:pPr>
      <w:r>
        <w:rPr>
          <w:rFonts w:ascii="Arial" w:cs="Arial" w:eastAsia="Arial" w:hAnsi="Arial"/>
          <w:sz w:val="20"/>
          <w:szCs w:val="20"/>
        </w:rPr>
        <w:t xml:space="preserve">Timeline views per entity (contact, account, policy)</w:t>
      </w:r>
    </w:p>
    <w:p>
      <w:pPr>
        <w:pStyle w:val="ListParagraph"/>
        <w:numPr>
          <w:ilvl w:val="0"/>
          <w:numId w:val="2"/>
        </w:numPr>
        <w:spacing w:after="40" w:before="40"/>
      </w:pPr>
      <w:r>
        <w:rPr>
          <w:rFonts w:ascii="Arial" w:cs="Arial" w:eastAsia="Arial" w:hAnsi="Arial"/>
          <w:sz w:val="20"/>
          <w:szCs w:val="20"/>
        </w:rPr>
        <w:t xml:space="preserve">Admin-accessible audit log with filters by module, user, action, and date range</w:t>
      </w:r>
    </w:p>
    <w:p>
      <w:pPr>
        <w:pStyle w:val="ListParagraph"/>
        <w:numPr>
          <w:ilvl w:val="0"/>
          <w:numId w:val="2"/>
        </w:numPr>
        <w:spacing w:after="40" w:before="40"/>
      </w:pPr>
      <w:r>
        <w:rPr>
          <w:rFonts w:ascii="Arial" w:cs="Arial" w:eastAsia="Arial" w:hAnsi="Arial"/>
          <w:sz w:val="20"/>
          <w:szCs w:val="20"/>
        </w:rPr>
        <w:t xml:space="preserve">Performance indexes on user_id, module, and timestamp</w:t>
      </w:r>
    </w:p>
    <w:p>
      <w:pPr>
        <w:pStyle w:val="Heading2"/>
      </w:pPr>
      <w:r>
        <w:t xml:space="preserve">3.4 Claims Management (PPR Rule 10, TCF Outcome 6)</w:t>
      </w:r>
    </w:p>
    <w:p>
      <w:pPr>
        <w:spacing w:after="80"/>
      </w:pPr>
      <w:r>
        <w:rPr>
          <w:b/>
          <w:bCs/>
          <w:color w:val="548235"/>
          <w:sz w:val="20"/>
          <w:szCs w:val="20"/>
        </w:rPr>
        <w:t xml:space="preserve">Assessment: Well-aligned</w:t>
      </w:r>
    </w:p>
    <w:p>
      <w:pPr>
        <w:pStyle w:val="ListParagraph"/>
        <w:numPr>
          <w:ilvl w:val="0"/>
          <w:numId w:val="2"/>
        </w:numPr>
        <w:spacing w:after="40" w:before="40"/>
      </w:pPr>
      <w:r>
        <w:rPr>
          <w:rFonts w:ascii="Arial" w:cs="Arial" w:eastAsia="Arial" w:hAnsi="Arial"/>
          <w:sz w:val="20"/>
          <w:szCs w:val="20"/>
        </w:rPr>
        <w:t xml:space="preserve">Delay flags auto-triggered when no client update in 7+ days</w:t>
      </w:r>
    </w:p>
    <w:p>
      <w:pPr>
        <w:pStyle w:val="ListParagraph"/>
        <w:numPr>
          <w:ilvl w:val="0"/>
          <w:numId w:val="2"/>
        </w:numPr>
        <w:spacing w:after="40" w:before="40"/>
      </w:pPr>
      <w:r>
        <w:rPr>
          <w:rFonts w:ascii="Arial" w:cs="Arial" w:eastAsia="Arial" w:hAnsi="Arial"/>
          <w:sz w:val="20"/>
          <w:szCs w:val="20"/>
        </w:rPr>
        <w:t xml:space="preserve">Client-kept-informed tracking with last update date</w:t>
      </w:r>
    </w:p>
    <w:p>
      <w:pPr>
        <w:pStyle w:val="ListParagraph"/>
        <w:numPr>
          <w:ilvl w:val="0"/>
          <w:numId w:val="2"/>
        </w:numPr>
        <w:spacing w:after="40" w:before="40"/>
      </w:pPr>
      <w:r>
        <w:rPr>
          <w:rFonts w:ascii="Arial" w:cs="Arial" w:eastAsia="Arial" w:hAnsi="Arial"/>
          <w:sz w:val="20"/>
          <w:szCs w:val="20"/>
        </w:rPr>
        <w:t xml:space="preserve">Fair process concern flags</w:t>
      </w:r>
    </w:p>
    <w:p>
      <w:pPr>
        <w:pStyle w:val="ListParagraph"/>
        <w:numPr>
          <w:ilvl w:val="0"/>
          <w:numId w:val="2"/>
        </w:numPr>
        <w:spacing w:after="40" w:before="40"/>
      </w:pPr>
      <w:r>
        <w:rPr>
          <w:rFonts w:ascii="Arial" w:cs="Arial" w:eastAsia="Arial" w:hAnsi="Arial"/>
          <w:sz w:val="20"/>
          <w:szCs w:val="20"/>
        </w:rPr>
        <w:t xml:space="preserve">Dispute tracking with details</w:t>
      </w:r>
    </w:p>
    <w:p>
      <w:pPr>
        <w:pStyle w:val="ListParagraph"/>
        <w:numPr>
          <w:ilvl w:val="0"/>
          <w:numId w:val="2"/>
        </w:numPr>
        <w:spacing w:after="40" w:before="40"/>
      </w:pPr>
      <w:r>
        <w:rPr>
          <w:rFonts w:ascii="Arial" w:cs="Arial" w:eastAsia="Arial" w:hAnsi="Arial"/>
          <w:sz w:val="20"/>
          <w:szCs w:val="20"/>
        </w:rPr>
        <w:t xml:space="preserve">Settlement and rejection tracking with reasons</w:t>
      </w:r>
    </w:p>
    <w:p>
      <w:pPr>
        <w:pStyle w:val="ListParagraph"/>
        <w:numPr>
          <w:ilvl w:val="0"/>
          <w:numId w:val="2"/>
        </w:numPr>
        <w:spacing w:after="40" w:before="40"/>
      </w:pPr>
      <w:r>
        <w:rPr>
          <w:rFonts w:ascii="Arial" w:cs="Arial" w:eastAsia="Arial" w:hAnsi="Arial"/>
          <w:sz w:val="20"/>
          <w:szCs w:val="20"/>
        </w:rPr>
        <w:t xml:space="preserve">Claims linked to policies, sections, and assets for complete traceability</w:t>
      </w:r>
    </w:p>
    <w:p>
      <w:pPr>
        <w:pStyle w:val="Heading2"/>
      </w:pPr>
      <w:r>
        <w:t xml:space="preserve">3.5 Complaints Handling (FAIS Section 14, PPR Rule 12)</w:t>
      </w:r>
    </w:p>
    <w:p>
      <w:pPr>
        <w:spacing w:after="80"/>
      </w:pPr>
      <w:r>
        <w:rPr>
          <w:b/>
          <w:bCs/>
          <w:color w:val="548235"/>
          <w:sz w:val="20"/>
          <w:szCs w:val="20"/>
        </w:rPr>
        <w:t xml:space="preserve">Assessment: Strong</w:t>
      </w:r>
    </w:p>
    <w:p>
      <w:pPr>
        <w:pStyle w:val="ListParagraph"/>
        <w:numPr>
          <w:ilvl w:val="0"/>
          <w:numId w:val="2"/>
        </w:numPr>
        <w:spacing w:after="40" w:before="40"/>
      </w:pPr>
      <w:r>
        <w:rPr>
          <w:rFonts w:ascii="Arial" w:cs="Arial" w:eastAsia="Arial" w:hAnsi="Arial"/>
          <w:sz w:val="20"/>
          <w:szCs w:val="20"/>
        </w:rPr>
        <w:t xml:space="preserve">Auto-generated complaint numbers (COMP-YYYYMMDD-XXXX)</w:t>
      </w:r>
    </w:p>
    <w:p>
      <w:pPr>
        <w:pStyle w:val="ListParagraph"/>
        <w:numPr>
          <w:ilvl w:val="0"/>
          <w:numId w:val="2"/>
        </w:numPr>
        <w:spacing w:after="40" w:before="40"/>
      </w:pPr>
      <w:r>
        <w:rPr>
          <w:rFonts w:ascii="Arial" w:cs="Arial" w:eastAsia="Arial" w:hAnsi="Arial"/>
          <w:sz w:val="20"/>
          <w:szCs w:val="20"/>
        </w:rPr>
        <w:t xml:space="preserve">Category classification including POPIA Breach and Conduct</w:t>
      </w:r>
    </w:p>
    <w:p>
      <w:pPr>
        <w:pStyle w:val="ListParagraph"/>
        <w:numPr>
          <w:ilvl w:val="0"/>
          <w:numId w:val="2"/>
        </w:numPr>
        <w:spacing w:after="40" w:before="40"/>
      </w:pPr>
      <w:r>
        <w:rPr>
          <w:rFonts w:ascii="Arial" w:cs="Arial" w:eastAsia="Arial" w:hAnsi="Arial"/>
          <w:sz w:val="20"/>
          <w:szCs w:val="20"/>
        </w:rPr>
        <w:t xml:space="preserve">Root cause analysis with corrective action tracking</w:t>
      </w:r>
    </w:p>
    <w:p>
      <w:pPr>
        <w:pStyle w:val="ListParagraph"/>
        <w:numPr>
          <w:ilvl w:val="0"/>
          <w:numId w:val="2"/>
        </w:numPr>
        <w:spacing w:after="40" w:before="40"/>
      </w:pPr>
      <w:r>
        <w:rPr>
          <w:rFonts w:ascii="Arial" w:cs="Arial" w:eastAsia="Arial" w:hAnsi="Arial"/>
          <w:sz w:val="20"/>
          <w:szCs w:val="20"/>
        </w:rPr>
        <w:t xml:space="preserve">Internal escalation and external ombud escalation flags</w:t>
      </w:r>
    </w:p>
    <w:p>
      <w:pPr>
        <w:pStyle w:val="ListParagraph"/>
        <w:numPr>
          <w:ilvl w:val="0"/>
          <w:numId w:val="2"/>
        </w:numPr>
        <w:spacing w:after="40" w:before="40"/>
      </w:pPr>
      <w:r>
        <w:rPr>
          <w:rFonts w:ascii="Arial" w:cs="Arial" w:eastAsia="Arial" w:hAnsi="Arial"/>
          <w:sz w:val="20"/>
          <w:szCs w:val="20"/>
        </w:rPr>
        <w:t xml:space="preserve">Response due date tracking</w:t>
      </w:r>
    </w:p>
    <w:p>
      <w:pPr>
        <w:pStyle w:val="ListParagraph"/>
        <w:numPr>
          <w:ilvl w:val="0"/>
          <w:numId w:val="2"/>
        </w:numPr>
        <w:spacing w:after="40" w:before="40"/>
      </w:pPr>
      <w:r>
        <w:rPr>
          <w:rFonts w:ascii="Arial" w:cs="Arial" w:eastAsia="Arial" w:hAnsi="Arial"/>
          <w:sz w:val="20"/>
          <w:szCs w:val="20"/>
        </w:rPr>
        <w:t xml:space="preserve">Fair outcome achieved tracking (TCF)</w:t>
      </w:r>
    </w:p>
    <w:p>
      <w:pPr>
        <w:pStyle w:val="ListParagraph"/>
        <w:numPr>
          <w:ilvl w:val="0"/>
          <w:numId w:val="2"/>
        </w:numPr>
        <w:spacing w:after="40" w:before="40"/>
      </w:pPr>
      <w:r>
        <w:rPr>
          <w:rFonts w:ascii="Arial" w:cs="Arial" w:eastAsia="Arial" w:hAnsi="Arial"/>
          <w:sz w:val="20"/>
          <w:szCs w:val="20"/>
        </w:rPr>
        <w:t xml:space="preserve">Predefined report: Complaints by Category and Root Cause</w:t>
      </w:r>
    </w:p>
    <w:p>
      <w:pPr>
        <w:pStyle w:val="Heading2"/>
      </w:pPr>
      <w:r>
        <w:t xml:space="preserve">3.6 POPIA Consent Management</w:t>
      </w:r>
    </w:p>
    <w:p>
      <w:pPr>
        <w:spacing w:after="80"/>
      </w:pPr>
      <w:r>
        <w:rPr>
          <w:b/>
          <w:bCs/>
          <w:color w:val="ED7D31"/>
          <w:sz w:val="20"/>
          <w:szCs w:val="20"/>
        </w:rPr>
        <w:t xml:space="preserve">Assessment: Foundation in place</w:t>
      </w:r>
    </w:p>
    <w:p>
      <w:pPr>
        <w:pStyle w:val="ListParagraph"/>
        <w:numPr>
          <w:ilvl w:val="0"/>
          <w:numId w:val="2"/>
        </w:numPr>
        <w:spacing w:after="40" w:before="40"/>
      </w:pPr>
      <w:r>
        <w:rPr>
          <w:rFonts w:ascii="Arial" w:cs="Arial" w:eastAsia="Arial" w:hAnsi="Arial"/>
          <w:sz w:val="20"/>
          <w:szCs w:val="20"/>
        </w:rPr>
        <w:t xml:space="preserve">Consent obtained flag (required boolean) on all contacts</w:t>
      </w:r>
    </w:p>
    <w:p>
      <w:pPr>
        <w:pStyle w:val="ListParagraph"/>
        <w:numPr>
          <w:ilvl w:val="0"/>
          <w:numId w:val="2"/>
        </w:numPr>
        <w:spacing w:after="40" w:before="40"/>
      </w:pPr>
      <w:r>
        <w:rPr>
          <w:rFonts w:ascii="Arial" w:cs="Arial" w:eastAsia="Arial" w:hAnsi="Arial"/>
          <w:sz w:val="20"/>
          <w:szCs w:val="20"/>
        </w:rPr>
        <w:t xml:space="preserve">Consent date tracking</w:t>
      </w:r>
    </w:p>
    <w:p>
      <w:pPr>
        <w:pStyle w:val="ListParagraph"/>
        <w:numPr>
          <w:ilvl w:val="0"/>
          <w:numId w:val="2"/>
        </w:numPr>
        <w:spacing w:after="40" w:before="40"/>
      </w:pPr>
      <w:r>
        <w:rPr>
          <w:rFonts w:ascii="Arial" w:cs="Arial" w:eastAsia="Arial" w:hAnsi="Arial"/>
          <w:sz w:val="20"/>
          <w:szCs w:val="20"/>
        </w:rPr>
        <w:t xml:space="preserve">Visually distinct in UI (yellow bordered fields)</w:t>
      </w:r>
    </w:p>
    <w:p>
      <w:pPr>
        <w:pStyle w:val="ListParagraph"/>
        <w:numPr>
          <w:ilvl w:val="0"/>
          <w:numId w:val="2"/>
        </w:numPr>
        <w:spacing w:after="40" w:before="40"/>
      </w:pPr>
      <w:r>
        <w:rPr>
          <w:rFonts w:ascii="Arial" w:cs="Arial" w:eastAsia="Arial" w:hAnsi="Arial"/>
          <w:sz w:val="20"/>
          <w:szCs w:val="20"/>
        </w:rPr>
        <w:t xml:space="preserve">All consent changes logged in audit trail</w:t>
      </w:r>
    </w:p>
    <w:p>
      <w:pPr>
        <w:pStyle w:val="Heading2"/>
      </w:pPr>
      <w:r>
        <w:t xml:space="preserve">3.7 Data Isolation and Access Control</w:t>
      </w:r>
    </w:p>
    <w:p>
      <w:pPr>
        <w:spacing w:after="80"/>
      </w:pPr>
      <w:r>
        <w:rPr>
          <w:b/>
          <w:bCs/>
          <w:color w:val="548235"/>
          <w:sz w:val="20"/>
          <w:szCs w:val="20"/>
        </w:rPr>
        <w:t xml:space="preserve">Assessment: Well-implemented</w:t>
      </w:r>
    </w:p>
    <w:p>
      <w:pPr>
        <w:pStyle w:val="ListParagraph"/>
        <w:numPr>
          <w:ilvl w:val="0"/>
          <w:numId w:val="2"/>
        </w:numPr>
        <w:spacing w:after="40" w:before="40"/>
      </w:pPr>
      <w:r>
        <w:rPr>
          <w:rFonts w:ascii="Arial" w:cs="Arial" w:eastAsia="Arial" w:hAnsi="Arial"/>
          <w:sz w:val="20"/>
          <w:szCs w:val="20"/>
        </w:rPr>
        <w:t xml:space="preserve">Three-tier role model: admin, broker, admin_only</w:t>
      </w:r>
    </w:p>
    <w:p>
      <w:pPr>
        <w:pStyle w:val="ListParagraph"/>
        <w:numPr>
          <w:ilvl w:val="0"/>
          <w:numId w:val="2"/>
        </w:numPr>
        <w:spacing w:after="40" w:before="40"/>
      </w:pPr>
      <w:r>
        <w:rPr>
          <w:rFonts w:ascii="Arial" w:cs="Arial" w:eastAsia="Arial" w:hAnsi="Arial"/>
          <w:sz w:val="20"/>
          <w:szCs w:val="20"/>
        </w:rPr>
        <w:t xml:space="preserve">Broker data isolation via assigned_broker_id scoping</w:t>
      </w:r>
    </w:p>
    <w:p>
      <w:pPr>
        <w:pStyle w:val="ListParagraph"/>
        <w:numPr>
          <w:ilvl w:val="0"/>
          <w:numId w:val="2"/>
        </w:numPr>
        <w:spacing w:after="40" w:before="40"/>
      </w:pPr>
      <w:r>
        <w:rPr>
          <w:rFonts w:ascii="Arial" w:cs="Arial" w:eastAsia="Arial" w:hAnsi="Arial"/>
          <w:sz w:val="20"/>
          <w:szCs w:val="20"/>
        </w:rPr>
        <w:t xml:space="preserve">Admins see all records; brokers only see their own</w:t>
      </w:r>
    </w:p>
    <w:p>
      <w:pPr>
        <w:pStyle w:val="ListParagraph"/>
        <w:numPr>
          <w:ilvl w:val="0"/>
          <w:numId w:val="2"/>
        </w:numPr>
        <w:spacing w:after="40" w:before="40"/>
      </w:pPr>
      <w:r>
        <w:rPr>
          <w:rFonts w:ascii="Arial" w:cs="Arial" w:eastAsia="Arial" w:hAnsi="Arial"/>
          <w:sz w:val="20"/>
          <w:szCs w:val="20"/>
        </w:rPr>
        <w:t xml:space="preserve">Consistent enforcement across all routes</w:t>
      </w:r>
    </w:p>
    <w:p>
      <w:pPr>
        <w:pStyle w:val="ListParagraph"/>
        <w:numPr>
          <w:ilvl w:val="0"/>
          <w:numId w:val="2"/>
        </w:numPr>
        <w:spacing w:after="40" w:before="40"/>
      </w:pPr>
      <w:r>
        <w:rPr>
          <w:rFonts w:ascii="Arial" w:cs="Arial" w:eastAsia="Arial" w:hAnsi="Arial"/>
          <w:sz w:val="20"/>
          <w:szCs w:val="20"/>
        </w:rPr>
        <w:t xml:space="preserve">Session-based authentication with 8-hour timeout</w:t>
      </w:r>
    </w:p>
    <w:p>
      <w:r>
        <w:br w:type="page"/>
      </w:r>
    </w:p>
    <w:p>
      <w:pPr>
        <w:pStyle w:val="Heading1"/>
      </w:pPr>
      <w:r>
        <w:t xml:space="preserve">4. Critical Gaps (Legal Non-Compliance Risk)</w:t>
      </w:r>
    </w:p>
    <w:p>
      <w:pPr>
        <w:spacing w:after="200"/>
      </w:pPr>
      <w:r>
        <w:rPr>
          <w:sz w:val="20"/>
          <w:szCs w:val="20"/>
        </w:rPr>
        <w:t xml:space="preserve">The following gaps represent areas where the platform does not currently satisfy mandatory legislative requirements. These should be addressed as the highest priority.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00000" w:sz="12"/>
              <w:left w:val="none" w:sz="0"/>
              <w:bottom w:val="none" w:sz="0"/>
              <w:right w:val="none" w:sz="0"/>
            </w:tcBorders>
            <w:shd w:fill="FFEBEE" w:val="clear"/>
            <w:tcMar>
              <w:top w:type="dxa" w:w="120"/>
              <w:left w:type="dxa" w:w="200"/>
              <w:bottom w:type="dxa" w:w="120"/>
              <w:right w:type="dxa" w:w="200"/>
            </w:tcMar>
          </w:tcPr>
          <w:p>
            <w:pPr>
              <w:spacing w:after="80"/>
            </w:pPr>
            <w:r>
              <w:rPr>
                <w:rFonts w:ascii="Arial" w:cs="Arial" w:eastAsia="Arial" w:hAnsi="Arial"/>
                <w:b/>
                <w:bCs/>
                <w:color w:val="C00000"/>
                <w:sz w:val="22"/>
                <w:szCs w:val="22"/>
              </w:rPr>
              <w:t xml:space="preserve">Immediate Action Required</w:t>
            </w:r>
          </w:p>
          <w:p>
            <w:pPr>
              <w:pStyle w:val="ListParagraph"/>
              <w:numPr>
                <w:ilvl w:val="0"/>
                <w:numId w:val="2"/>
              </w:numPr>
              <w:spacing w:after="40" w:before="40"/>
            </w:pPr>
            <w:r>
              <w:rPr>
                <w:rFonts w:ascii="Arial" w:cs="Arial" w:eastAsia="Arial" w:hAnsi="Arial"/>
                <w:sz w:val="20"/>
                <w:szCs w:val="20"/>
              </w:rPr>
              <w:t xml:space="preserve">These 6 gaps carry direct regulatory sanction risk under current legislation</w:t>
            </w:r>
          </w:p>
          <w:p>
            <w:pPr>
              <w:pStyle w:val="ListParagraph"/>
              <w:numPr>
                <w:ilvl w:val="0"/>
                <w:numId w:val="2"/>
              </w:numPr>
              <w:spacing w:after="40" w:before="40"/>
            </w:pPr>
            <w:r>
              <w:rPr>
                <w:rFonts w:ascii="Arial" w:cs="Arial" w:eastAsia="Arial" w:hAnsi="Arial"/>
                <w:sz w:val="20"/>
                <w:szCs w:val="20"/>
              </w:rPr>
              <w:t xml:space="preserve">Non-compliance penalties under FAIS: fines up to R1 million and/or imprisonment up to 10 years</w:t>
            </w:r>
          </w:p>
          <w:p>
            <w:pPr>
              <w:pStyle w:val="ListParagraph"/>
              <w:numPr>
                <w:ilvl w:val="0"/>
                <w:numId w:val="2"/>
              </w:numPr>
              <w:spacing w:after="40" w:before="40"/>
            </w:pPr>
            <w:r>
              <w:rPr>
                <w:rFonts w:ascii="Arial" w:cs="Arial" w:eastAsia="Arial" w:hAnsi="Arial"/>
                <w:sz w:val="20"/>
                <w:szCs w:val="20"/>
              </w:rPr>
              <w:t xml:space="preserve">Non-compliance penalties under POPIA: fines up to R10 million and/or imprisonment up to 10 years</w:t>
            </w:r>
          </w:p>
        </w:tc>
      </w:tr>
    </w:tbl>
    <w:p>
      <w:pPr>
        <w:spacing w:after="0" w:before="120"/>
      </w:pPr>
      <w:r>
        <w:t xml:space="preserve"/>
      </w:r>
    </w:p>
    <w:p>
      <w:pPr>
        <w:pStyle w:val="Heading2"/>
      </w:pPr>
      <w:r>
        <w:t xml:space="preserve">4.1 Commission and Remuneration Disclosure</w:t>
      </w:r>
    </w:p>
    <w:p>
      <w:r>
        <w:rPr>
          <w:b/>
          <w:bCs/>
          <w:sz w:val="20"/>
          <w:szCs w:val="20"/>
        </w:rPr>
        <w:t xml:space="preserve">Governing legislation: </w:t>
      </w:r>
      <w:r>
        <w:rPr>
          <w:sz w:val="20"/>
          <w:szCs w:val="20"/>
        </w:rPr>
        <w:t xml:space="preserve">FAIS Act s4, FAIS General Code s4, COFI Bill</w:t>
      </w:r>
    </w:p>
    <w:p>
      <w:pPr>
        <w:spacing w:after="120"/>
      </w:pPr>
      <w:r>
        <w:rPr>
          <w:b/>
          <w:bCs/>
          <w:color w:val="C00000"/>
          <w:sz w:val="20"/>
          <w:szCs w:val="20"/>
        </w:rPr>
        <w:t xml:space="preserve">Current state: </w:t>
      </w:r>
      <w:r>
        <w:rPr>
          <w:sz w:val="20"/>
          <w:szCs w:val="20"/>
        </w:rPr>
        <w:t xml:space="preserve">Missing entirely. No schema fields exist for commission rates, fee structures, or remuneration disclosure to clients.</w:t>
      </w:r>
    </w:p>
    <w:p>
      <w:pPr>
        <w:spacing w:after="120"/>
      </w:pPr>
      <w:r>
        <w:rPr>
          <w:b/>
          <w:bCs/>
          <w:sz w:val="20"/>
          <w:szCs w:val="20"/>
        </w:rPr>
        <w:t xml:space="preserve">Required: </w:t>
      </w:r>
      <w:r>
        <w:rPr>
          <w:sz w:val="20"/>
          <w:szCs w:val="20"/>
        </w:rPr>
        <w:t xml:space="preserve">Brokers must disclose all commissions, fees, charges, or brokerages payable. COFI will further require remuneration to be demonstrably commensurate with the actual activity performed.</w:t>
      </w:r>
    </w:p>
    <w:p>
      <w:pPr>
        <w:spacing w:after="60"/>
      </w:pPr>
      <w:r>
        <w:rPr>
          <w:b/>
          <w:bCs/>
          <w:color w:val="2E75B6"/>
          <w:sz w:val="20"/>
          <w:szCs w:val="20"/>
        </w:rPr>
        <w:t xml:space="preserve">Recommendation:</w:t>
      </w:r>
    </w:p>
    <w:p>
      <w:r>
        <w:rPr>
          <w:sz w:val="20"/>
          <w:szCs w:val="20"/>
        </w:rPr>
        <w:t xml:space="preserve">Create a commission_disclosures table with the following fields:</w:t>
      </w:r>
    </w:p>
    <w:p>
      <w:pPr>
        <w:pStyle w:val="ListParagraph"/>
        <w:numPr>
          <w:ilvl w:val="0"/>
          <w:numId w:val="2"/>
        </w:numPr>
        <w:spacing w:after="40" w:before="40"/>
      </w:pPr>
      <w:r>
        <w:rPr>
          <w:rFonts w:ascii="Arial" w:cs="Arial" w:eastAsia="Arial" w:hAnsi="Arial"/>
          <w:sz w:val="20"/>
          <w:szCs w:val="20"/>
        </w:rPr>
        <w:t xml:space="preserve">policy_id (FK) - linked to the policy</w:t>
      </w:r>
    </w:p>
    <w:p>
      <w:pPr>
        <w:pStyle w:val="ListParagraph"/>
        <w:numPr>
          <w:ilvl w:val="0"/>
          <w:numId w:val="2"/>
        </w:numPr>
        <w:spacing w:after="40" w:before="40"/>
      </w:pPr>
      <w:r>
        <w:rPr>
          <w:rFonts w:ascii="Arial" w:cs="Arial" w:eastAsia="Arial" w:hAnsi="Arial"/>
          <w:sz w:val="20"/>
          <w:szCs w:val="20"/>
        </w:rPr>
        <w:t xml:space="preserve">commission_type - Commission, Fee, Binder Fee</w:t>
      </w:r>
    </w:p>
    <w:p>
      <w:pPr>
        <w:pStyle w:val="ListParagraph"/>
        <w:numPr>
          <w:ilvl w:val="0"/>
          <w:numId w:val="2"/>
        </w:numPr>
        <w:spacing w:after="40" w:before="40"/>
      </w:pPr>
      <w:r>
        <w:rPr>
          <w:rFonts w:ascii="Arial" w:cs="Arial" w:eastAsia="Arial" w:hAnsi="Arial"/>
          <w:sz w:val="20"/>
          <w:szCs w:val="20"/>
        </w:rPr>
        <w:t xml:space="preserve">amount and percentage - the actual values</w:t>
      </w:r>
    </w:p>
    <w:p>
      <w:pPr>
        <w:pStyle w:val="ListParagraph"/>
        <w:numPr>
          <w:ilvl w:val="0"/>
          <w:numId w:val="2"/>
        </w:numPr>
        <w:spacing w:after="40" w:before="40"/>
      </w:pPr>
      <w:r>
        <w:rPr>
          <w:rFonts w:ascii="Arial" w:cs="Arial" w:eastAsia="Arial" w:hAnsi="Arial"/>
          <w:sz w:val="20"/>
          <w:szCs w:val="20"/>
        </w:rPr>
        <w:t xml:space="preserve">disclosed_to_client (boolean) and disclosure_date</w:t>
      </w:r>
    </w:p>
    <w:p>
      <w:pPr>
        <w:pStyle w:val="ListParagraph"/>
        <w:numPr>
          <w:ilvl w:val="0"/>
          <w:numId w:val="2"/>
        </w:numPr>
        <w:spacing w:after="40" w:before="40"/>
      </w:pPr>
      <w:r>
        <w:rPr>
          <w:rFonts w:ascii="Arial" w:cs="Arial" w:eastAsia="Arial" w:hAnsi="Arial"/>
          <w:sz w:val="20"/>
          <w:szCs w:val="20"/>
        </w:rPr>
        <w:t xml:space="preserve">acknowledged_by_client (boolean) and acknowledgement_date</w:t>
      </w:r>
    </w:p>
    <w:p>
      <w:pPr>
        <w:pStyle w:val="ListParagraph"/>
        <w:numPr>
          <w:ilvl w:val="0"/>
          <w:numId w:val="2"/>
        </w:numPr>
        <w:spacing w:after="40" w:before="40"/>
      </w:pPr>
      <w:r>
        <w:rPr>
          <w:rFonts w:ascii="Arial" w:cs="Arial" w:eastAsia="Arial" w:hAnsi="Arial"/>
          <w:sz w:val="20"/>
          <w:szCs w:val="20"/>
        </w:rPr>
        <w:t xml:space="preserve">Track both what the broker earns AND what the insurer pays</w:t>
      </w:r>
    </w:p>
    <w:p>
      <w:pPr>
        <w:spacing w:after="0" w:before="120"/>
      </w:pPr>
      <w:r>
        <w:t xml:space="preserve"/>
      </w:r>
    </w:p>
    <w:p>
      <w:pPr>
        <w:pStyle w:val="Heading2"/>
      </w:pPr>
      <w:r>
        <w:t xml:space="preserve">4.2 FSP Licence and Mandatory Disclosures</w:t>
      </w:r>
    </w:p>
    <w:p>
      <w:r>
        <w:rPr>
          <w:b/>
          <w:bCs/>
          <w:sz w:val="20"/>
          <w:szCs w:val="20"/>
        </w:rPr>
        <w:t xml:space="preserve">Governing legislation: </w:t>
      </w:r>
      <w:r>
        <w:rPr>
          <w:sz w:val="20"/>
          <w:szCs w:val="20"/>
        </w:rPr>
        <w:t xml:space="preserve">FAIS Act s7, FAIS General Code s4</w:t>
      </w:r>
    </w:p>
    <w:p>
      <w:pPr>
        <w:spacing w:after="120"/>
      </w:pPr>
      <w:r>
        <w:rPr>
          <w:b/>
          <w:bCs/>
          <w:color w:val="C00000"/>
          <w:sz w:val="20"/>
          <w:szCs w:val="20"/>
        </w:rPr>
        <w:t xml:space="preserve">Current state: </w:t>
      </w:r>
      <w:r>
        <w:rPr>
          <w:sz w:val="20"/>
          <w:szCs w:val="20"/>
        </w:rPr>
        <w:t xml:space="preserve">Missing. No fields for FSP licence number, authorised categories, compliance officer details, or the mandatory first-contact disclosures.</w:t>
      </w:r>
    </w:p>
    <w:p>
      <w:pPr>
        <w:spacing w:after="60"/>
      </w:pPr>
      <w:r>
        <w:rPr>
          <w:b/>
          <w:bCs/>
          <w:color w:val="2E75B6"/>
          <w:sz w:val="20"/>
          <w:szCs w:val="20"/>
        </w:rPr>
        <w:t xml:space="preserve">Recommendation:</w:t>
      </w:r>
    </w:p>
    <w:p>
      <w:r>
        <w:rPr>
          <w:sz w:val="20"/>
          <w:szCs w:val="20"/>
        </w:rPr>
        <w:t xml:space="preserve">Add a broker_profiles table or extend the users table with:</w:t>
      </w:r>
    </w:p>
    <w:p>
      <w:pPr>
        <w:pStyle w:val="ListParagraph"/>
        <w:numPr>
          <w:ilvl w:val="0"/>
          <w:numId w:val="2"/>
        </w:numPr>
        <w:spacing w:after="40" w:before="40"/>
      </w:pPr>
      <w:r>
        <w:rPr>
          <w:rFonts w:ascii="Arial" w:cs="Arial" w:eastAsia="Arial" w:hAnsi="Arial"/>
          <w:sz w:val="20"/>
          <w:szCs w:val="20"/>
        </w:rPr>
        <w:t xml:space="preserve">fsp_licence_number and authorised_categories</w:t>
      </w:r>
    </w:p>
    <w:p>
      <w:pPr>
        <w:pStyle w:val="ListParagraph"/>
        <w:numPr>
          <w:ilvl w:val="0"/>
          <w:numId w:val="2"/>
        </w:numPr>
        <w:spacing w:after="40" w:before="40"/>
      </w:pPr>
      <w:r>
        <w:rPr>
          <w:rFonts w:ascii="Arial" w:cs="Arial" w:eastAsia="Arial" w:hAnsi="Arial"/>
          <w:sz w:val="20"/>
          <w:szCs w:val="20"/>
        </w:rPr>
        <w:t xml:space="preserve">compliance_officer_name and compliance_officer_contact</w:t>
      </w:r>
    </w:p>
    <w:p>
      <w:pPr>
        <w:pStyle w:val="ListParagraph"/>
        <w:numPr>
          <w:ilvl w:val="0"/>
          <w:numId w:val="2"/>
        </w:numPr>
        <w:spacing w:after="40" w:before="40"/>
      </w:pPr>
      <w:r>
        <w:rPr>
          <w:rFonts w:ascii="Arial" w:cs="Arial" w:eastAsia="Arial" w:hAnsi="Arial"/>
          <w:sz w:val="20"/>
          <w:szCs w:val="20"/>
        </w:rPr>
        <w:t xml:space="preserve">professional_indemnity_policy, pi_expiry_date, pi_insurer</w:t>
      </w:r>
    </w:p>
    <w:p>
      <w:pPr>
        <w:pStyle w:val="ListParagraph"/>
        <w:numPr>
          <w:ilvl w:val="0"/>
          <w:numId w:val="2"/>
        </w:numPr>
        <w:spacing w:after="40" w:before="40"/>
      </w:pPr>
      <w:r>
        <w:rPr>
          <w:rFonts w:ascii="Arial" w:cs="Arial" w:eastAsia="Arial" w:hAnsi="Arial"/>
          <w:sz w:val="20"/>
          <w:szCs w:val="20"/>
        </w:rPr>
        <w:t xml:space="preserve">fidelity_guarantee_details</w:t>
      </w:r>
    </w:p>
    <w:p>
      <w:pPr>
        <w:pStyle w:val="ListParagraph"/>
        <w:numPr>
          <w:ilvl w:val="0"/>
          <w:numId w:val="2"/>
        </w:numPr>
        <w:spacing w:after="40" w:before="40"/>
      </w:pPr>
      <w:r>
        <w:rPr>
          <w:rFonts w:ascii="Arial" w:cs="Arial" w:eastAsia="Arial" w:hAnsi="Arial"/>
          <w:sz w:val="20"/>
          <w:szCs w:val="20"/>
        </w:rPr>
        <w:t xml:space="preserve">These fields must be surfaceable in all client-facing documents and ROA outputs</w:t>
      </w:r>
    </w:p>
    <w:p>
      <w:pPr>
        <w:spacing w:after="0" w:before="120"/>
      </w:pPr>
      <w:r>
        <w:t xml:space="preserve"/>
      </w:r>
    </w:p>
    <w:p>
      <w:pPr>
        <w:pStyle w:val="Heading2"/>
      </w:pPr>
      <w:r>
        <w:t xml:space="preserve">4.3 Conflict of Interest Register</w:t>
      </w:r>
    </w:p>
    <w:p>
      <w:r>
        <w:rPr>
          <w:b/>
          <w:bCs/>
          <w:sz w:val="20"/>
          <w:szCs w:val="20"/>
        </w:rPr>
        <w:t xml:space="preserve">Governing legislation: </w:t>
      </w:r>
      <w:r>
        <w:rPr>
          <w:sz w:val="20"/>
          <w:szCs w:val="20"/>
        </w:rPr>
        <w:t xml:space="preserve">Board Notice 58 of 2010, FAIS General Code s3A and s16</w:t>
      </w:r>
    </w:p>
    <w:p>
      <w:pPr>
        <w:spacing w:after="120"/>
      </w:pPr>
      <w:r>
        <w:rPr>
          <w:b/>
          <w:bCs/>
          <w:color w:val="C00000"/>
          <w:sz w:val="20"/>
          <w:szCs w:val="20"/>
        </w:rPr>
        <w:t xml:space="preserve">Current state: </w:t>
      </w:r>
      <w:r>
        <w:rPr>
          <w:sz w:val="20"/>
          <w:szCs w:val="20"/>
        </w:rPr>
        <w:t xml:space="preserve">Partially covered via conduct_risk_flag and conduct_risk_notes on contacts, policy sections, and engagements. However, no formal conflict of interest register exists.</w:t>
      </w:r>
    </w:p>
    <w:p>
      <w:pPr>
        <w:spacing w:after="60"/>
      </w:pPr>
      <w:r>
        <w:rPr>
          <w:b/>
          <w:bCs/>
          <w:color w:val="2E75B6"/>
          <w:sz w:val="20"/>
          <w:szCs w:val="20"/>
        </w:rPr>
        <w:t xml:space="preserve">Recommendation:</w:t>
      </w:r>
    </w:p>
    <w:p>
      <w:r>
        <w:rPr>
          <w:sz w:val="20"/>
          <w:szCs w:val="20"/>
        </w:rPr>
        <w:t xml:space="preserve">Create a conflict_of_interest_register table:</w:t>
      </w:r>
    </w:p>
    <w:p>
      <w:pPr>
        <w:pStyle w:val="ListParagraph"/>
        <w:numPr>
          <w:ilvl w:val="0"/>
          <w:numId w:val="2"/>
        </w:numPr>
        <w:spacing w:after="40" w:before="40"/>
      </w:pPr>
      <w:r>
        <w:rPr>
          <w:rFonts w:ascii="Arial" w:cs="Arial" w:eastAsia="Arial" w:hAnsi="Arial"/>
          <w:sz w:val="20"/>
          <w:szCs w:val="20"/>
        </w:rPr>
        <w:t xml:space="preserve">type - Financial Interest Received, Financial Interest Given, Ownership Interest, Third Party Relationship</w:t>
      </w:r>
    </w:p>
    <w:p>
      <w:pPr>
        <w:pStyle w:val="ListParagraph"/>
        <w:numPr>
          <w:ilvl w:val="0"/>
          <w:numId w:val="2"/>
        </w:numPr>
        <w:spacing w:after="40" w:before="40"/>
      </w:pPr>
      <w:r>
        <w:rPr>
          <w:rFonts w:ascii="Arial" w:cs="Arial" w:eastAsia="Arial" w:hAnsi="Arial"/>
          <w:sz w:val="20"/>
          <w:szCs w:val="20"/>
        </w:rPr>
        <w:t xml:space="preserve">description, parties_involved, monetary_value</w:t>
      </w:r>
    </w:p>
    <w:p>
      <w:pPr>
        <w:pStyle w:val="ListParagraph"/>
        <w:numPr>
          <w:ilvl w:val="0"/>
          <w:numId w:val="2"/>
        </w:numPr>
        <w:spacing w:after="40" w:before="40"/>
      </w:pPr>
      <w:r>
        <w:rPr>
          <w:rFonts w:ascii="Arial" w:cs="Arial" w:eastAsia="Arial" w:hAnsi="Arial"/>
          <w:sz w:val="20"/>
          <w:szCs w:val="20"/>
        </w:rPr>
        <w:t xml:space="preserve">date_identified, mitigation_action_taken</w:t>
      </w:r>
    </w:p>
    <w:p>
      <w:pPr>
        <w:pStyle w:val="ListParagraph"/>
        <w:numPr>
          <w:ilvl w:val="0"/>
          <w:numId w:val="2"/>
        </w:numPr>
        <w:spacing w:after="40" w:before="40"/>
      </w:pPr>
      <w:r>
        <w:rPr>
          <w:rFonts w:ascii="Arial" w:cs="Arial" w:eastAsia="Arial" w:hAnsi="Arial"/>
          <w:sz w:val="20"/>
          <w:szCs w:val="20"/>
        </w:rPr>
        <w:t xml:space="preserve">disclosed_to_client (boolean), disclosure_date</w:t>
      </w:r>
    </w:p>
    <w:p>
      <w:pPr>
        <w:pStyle w:val="ListParagraph"/>
        <w:numPr>
          <w:ilvl w:val="0"/>
          <w:numId w:val="2"/>
        </w:numPr>
        <w:spacing w:after="40" w:before="40"/>
      </w:pPr>
      <w:r>
        <w:rPr>
          <w:rFonts w:ascii="Arial" w:cs="Arial" w:eastAsia="Arial" w:hAnsi="Arial"/>
          <w:sz w:val="20"/>
          <w:szCs w:val="20"/>
        </w:rPr>
        <w:t xml:space="preserve">status - Active, Mitigated, Closed</w:t>
      </w:r>
    </w:p>
    <w:p>
      <w:pPr>
        <w:pStyle w:val="ListParagraph"/>
        <w:numPr>
          <w:ilvl w:val="0"/>
          <w:numId w:val="2"/>
        </w:numPr>
        <w:spacing w:after="40" w:before="40"/>
      </w:pPr>
      <w:r>
        <w:rPr>
          <w:rFonts w:ascii="Arial" w:cs="Arial" w:eastAsia="Arial" w:hAnsi="Arial"/>
          <w:sz w:val="20"/>
          <w:szCs w:val="20"/>
        </w:rPr>
        <w:t xml:space="preserve">Track the R1,000 immaterial financial interest threshold per product supplier per year</w:t>
      </w:r>
    </w:p>
    <w:p>
      <w:pPr>
        <w:pStyle w:val="ListParagraph"/>
        <w:numPr>
          <w:ilvl w:val="0"/>
          <w:numId w:val="2"/>
        </w:numPr>
        <w:spacing w:after="40" w:before="40"/>
      </w:pPr>
      <w:r>
        <w:rPr>
          <w:rFonts w:ascii="Arial" w:cs="Arial" w:eastAsia="Arial" w:hAnsi="Arial"/>
          <w:sz w:val="20"/>
          <w:szCs w:val="20"/>
        </w:rPr>
        <w:t xml:space="preserve">Must be auditable and reportable to the FSCA</w:t>
      </w:r>
    </w:p>
    <w:p>
      <w:pPr>
        <w:spacing w:after="0" w:before="120"/>
      </w:pPr>
      <w:r>
        <w:t xml:space="preserve"/>
      </w:r>
    </w:p>
    <w:p>
      <w:pPr>
        <w:pStyle w:val="Heading2"/>
      </w:pPr>
      <w:r>
        <w:t xml:space="preserve">4.4 FICA Customer Due Diligence Substance</w:t>
      </w:r>
    </w:p>
    <w:p>
      <w:r>
        <w:rPr>
          <w:b/>
          <w:bCs/>
          <w:sz w:val="20"/>
          <w:szCs w:val="20"/>
        </w:rPr>
        <w:t xml:space="preserve">Governing legislation: </w:t>
      </w:r>
      <w:r>
        <w:rPr>
          <w:sz w:val="20"/>
          <w:szCs w:val="20"/>
        </w:rPr>
        <w:t xml:space="preserve">FICA s21, s23, PCC 59</w:t>
      </w:r>
    </w:p>
    <w:p>
      <w:pPr>
        <w:spacing w:after="120"/>
      </w:pPr>
      <w:r>
        <w:rPr>
          <w:b/>
          <w:bCs/>
          <w:color w:val="C00000"/>
          <w:sz w:val="20"/>
          <w:szCs w:val="20"/>
        </w:rPr>
        <w:t xml:space="preserve">Current state: </w:t>
      </w:r>
      <w:r>
        <w:rPr>
          <w:sz w:val="20"/>
          <w:szCs w:val="20"/>
        </w:rPr>
        <w:t xml:space="preserve">Status tracking exists (Not Started/Pending/Verified/Expired/Exempt) but no substance. The system tracks whether verification happened but not what was verified.</w:t>
      </w:r>
    </w:p>
    <w:p>
      <w:pPr>
        <w:spacing w:after="60"/>
      </w:pPr>
      <w:r>
        <w:rPr>
          <w:b/>
          <w:bCs/>
          <w:color w:val="2E75B6"/>
          <w:sz w:val="20"/>
          <w:szCs w:val="20"/>
        </w:rPr>
        <w:t xml:space="preserve">Recommendation:</w:t>
      </w:r>
    </w:p>
    <w:p>
      <w:r>
        <w:rPr>
          <w:sz w:val="20"/>
          <w:szCs w:val="20"/>
        </w:rPr>
        <w:t xml:space="preserve">Create a fica_verifications table:</w:t>
      </w:r>
    </w:p>
    <w:p>
      <w:pPr>
        <w:pStyle w:val="ListParagraph"/>
        <w:numPr>
          <w:ilvl w:val="0"/>
          <w:numId w:val="2"/>
        </w:numPr>
        <w:spacing w:after="40" w:before="40"/>
      </w:pPr>
      <w:r>
        <w:rPr>
          <w:rFonts w:ascii="Arial" w:cs="Arial" w:eastAsia="Arial" w:hAnsi="Arial"/>
          <w:sz w:val="20"/>
          <w:szCs w:val="20"/>
        </w:rPr>
        <w:t xml:space="preserve">contact_id / account_id (FK)</w:t>
      </w:r>
    </w:p>
    <w:p>
      <w:pPr>
        <w:pStyle w:val="ListParagraph"/>
        <w:numPr>
          <w:ilvl w:val="0"/>
          <w:numId w:val="2"/>
        </w:numPr>
        <w:spacing w:after="40" w:before="40"/>
      </w:pPr>
      <w:r>
        <w:rPr>
          <w:rFonts w:ascii="Arial" w:cs="Arial" w:eastAsia="Arial" w:hAnsi="Arial"/>
          <w:sz w:val="20"/>
          <w:szCs w:val="20"/>
        </w:rPr>
        <w:t xml:space="preserve">verification_type - Identity, Address, Source of Funds, Beneficial Ownership, PEP Screening, Sanctions Screening</w:t>
      </w:r>
    </w:p>
    <w:p>
      <w:pPr>
        <w:pStyle w:val="ListParagraph"/>
        <w:numPr>
          <w:ilvl w:val="0"/>
          <w:numId w:val="2"/>
        </w:numPr>
        <w:spacing w:after="40" w:before="40"/>
      </w:pPr>
      <w:r>
        <w:rPr>
          <w:rFonts w:ascii="Arial" w:cs="Arial" w:eastAsia="Arial" w:hAnsi="Arial"/>
          <w:sz w:val="20"/>
          <w:szCs w:val="20"/>
        </w:rPr>
        <w:t xml:space="preserve">document_reference, verified_by, verification_date, expiry_date</w:t>
      </w:r>
    </w:p>
    <w:p>
      <w:pPr>
        <w:pStyle w:val="ListParagraph"/>
        <w:numPr>
          <w:ilvl w:val="0"/>
          <w:numId w:val="2"/>
        </w:numPr>
        <w:spacing w:after="40" w:before="40"/>
      </w:pPr>
      <w:r>
        <w:rPr>
          <w:rFonts w:ascii="Arial" w:cs="Arial" w:eastAsia="Arial" w:hAnsi="Arial"/>
          <w:sz w:val="20"/>
          <w:szCs w:val="20"/>
        </w:rPr>
        <w:t xml:space="preserve">risk_rating - Low, Medium, High (for risk-based approach)</w:t>
      </w:r>
    </w:p>
    <w:p>
      <w:pPr>
        <w:pStyle w:val="ListParagraph"/>
        <w:numPr>
          <w:ilvl w:val="0"/>
          <w:numId w:val="2"/>
        </w:numPr>
        <w:spacing w:after="40" w:before="40"/>
      </w:pPr>
      <w:r>
        <w:rPr>
          <w:rFonts w:ascii="Arial" w:cs="Arial" w:eastAsia="Arial" w:hAnsi="Arial"/>
          <w:sz w:val="20"/>
          <w:szCs w:val="20"/>
        </w:rPr>
        <w:t xml:space="preserve">Beneficial ownership fields (PCC 59 requirement, effective August 2024)</w:t>
      </w:r>
    </w:p>
    <w:p>
      <w:pPr>
        <w:pStyle w:val="ListParagraph"/>
        <w:numPr>
          <w:ilvl w:val="0"/>
          <w:numId w:val="2"/>
        </w:numPr>
        <w:spacing w:after="40" w:before="40"/>
      </w:pPr>
      <w:r>
        <w:rPr>
          <w:rFonts w:ascii="Arial" w:cs="Arial" w:eastAsia="Arial" w:hAnsi="Arial"/>
          <w:sz w:val="20"/>
          <w:szCs w:val="20"/>
        </w:rPr>
        <w:t xml:space="preserve">PEP and sanctions screening results</w:t>
      </w:r>
    </w:p>
    <w:p>
      <w:pPr>
        <w:pStyle w:val="ListParagraph"/>
        <w:numPr>
          <w:ilvl w:val="0"/>
          <w:numId w:val="2"/>
        </w:numPr>
        <w:spacing w:after="40" w:before="40"/>
      </w:pPr>
      <w:r>
        <w:rPr>
          <w:rFonts w:ascii="Arial" w:cs="Arial" w:eastAsia="Arial" w:hAnsi="Arial"/>
          <w:sz w:val="20"/>
          <w:szCs w:val="20"/>
        </w:rPr>
        <w:t xml:space="preserve">Enhanced Due Diligence trigger fields and records</w:t>
      </w:r>
    </w:p>
    <w:p>
      <w:pPr>
        <w:pStyle w:val="ListParagraph"/>
        <w:numPr>
          <w:ilvl w:val="0"/>
          <w:numId w:val="2"/>
        </w:numPr>
        <w:spacing w:after="40" w:before="40"/>
      </w:pPr>
      <w:r>
        <w:rPr>
          <w:rFonts w:ascii="Arial" w:cs="Arial" w:eastAsia="Arial" w:hAnsi="Arial"/>
          <w:sz w:val="20"/>
          <w:szCs w:val="20"/>
        </w:rPr>
        <w:t xml:space="preserve">MLRO designation field on users table</w:t>
      </w:r>
    </w:p>
    <w:p>
      <w:pPr>
        <w:spacing w:after="0" w:before="120"/>
      </w:pPr>
      <w:r>
        <w:t xml:space="preserve"/>
      </w:r>
    </w:p>
    <w:p>
      <w:pPr>
        <w:pStyle w:val="Heading2"/>
      </w:pPr>
      <w:r>
        <w:t xml:space="preserve">4.5 POPIA Rights Management</w:t>
      </w:r>
    </w:p>
    <w:p>
      <w:r>
        <w:rPr>
          <w:b/>
          <w:bCs/>
          <w:sz w:val="20"/>
          <w:szCs w:val="20"/>
        </w:rPr>
        <w:t xml:space="preserve">Governing legislation: </w:t>
      </w:r>
      <w:r>
        <w:rPr>
          <w:sz w:val="20"/>
          <w:szCs w:val="20"/>
        </w:rPr>
        <w:t xml:space="preserve">POPIA s8-25</w:t>
      </w:r>
    </w:p>
    <w:p>
      <w:pPr>
        <w:spacing w:after="120"/>
      </w:pPr>
      <w:r>
        <w:rPr>
          <w:b/>
          <w:bCs/>
          <w:color w:val="C00000"/>
          <w:sz w:val="20"/>
          <w:szCs w:val="20"/>
        </w:rPr>
        <w:t xml:space="preserve">Current state: </w:t>
      </w:r>
      <w:r>
        <w:rPr>
          <w:sz w:val="20"/>
          <w:szCs w:val="20"/>
        </w:rPr>
        <w:t xml:space="preserve">Consent captured at the contact level (boolean + date), but consent granularity, purpose specification, and data subject rights management are not implemented.</w:t>
      </w:r>
    </w:p>
    <w:p>
      <w:pPr>
        <w:spacing w:after="60"/>
      </w:pPr>
      <w:r>
        <w:rPr>
          <w:b/>
          <w:bCs/>
          <w:color w:val="2E75B6"/>
          <w:sz w:val="20"/>
          <w:szCs w:val="20"/>
        </w:rPr>
        <w:t xml:space="preserve">Recommendation:</w:t>
      </w:r>
    </w:p>
    <w:p>
      <w:r>
        <w:rPr>
          <w:sz w:val="20"/>
          <w:szCs w:val="20"/>
        </w:rPr>
        <w:t xml:space="preserve">Expand POPIA implementation with:</w:t>
      </w:r>
    </w:p>
    <w:p>
      <w:pPr>
        <w:pStyle w:val="ListParagraph"/>
        <w:numPr>
          <w:ilvl w:val="0"/>
          <w:numId w:val="2"/>
        </w:numPr>
        <w:spacing w:after="40" w:before="40"/>
      </w:pPr>
      <w:r>
        <w:rPr>
          <w:rFonts w:ascii="Arial" w:cs="Arial" w:eastAsia="Arial" w:hAnsi="Arial"/>
          <w:sz w:val="20"/>
          <w:szCs w:val="20"/>
        </w:rPr>
        <w:t xml:space="preserve">popia_consent_details table: purpose_of_processing, categories_of_data, third_party_sharing_consent, cross_border_transfer_consent, marketing_consent, consent_withdrawal_date</w:t>
      </w:r>
    </w:p>
    <w:p>
      <w:pPr>
        <w:pStyle w:val="ListParagraph"/>
        <w:numPr>
          <w:ilvl w:val="0"/>
          <w:numId w:val="2"/>
        </w:numPr>
        <w:spacing w:after="40" w:before="40"/>
      </w:pPr>
      <w:r>
        <w:rPr>
          <w:rFonts w:ascii="Arial" w:cs="Arial" w:eastAsia="Arial" w:hAnsi="Arial"/>
          <w:sz w:val="20"/>
          <w:szCs w:val="20"/>
        </w:rPr>
        <w:t xml:space="preserve">data_subject_requests table: request_type (Access/Correction/Deletion/Objection), date_received, response_due_date, completed_date, outcome</w:t>
      </w:r>
    </w:p>
    <w:p>
      <w:pPr>
        <w:pStyle w:val="ListParagraph"/>
        <w:numPr>
          <w:ilvl w:val="0"/>
          <w:numId w:val="2"/>
        </w:numPr>
        <w:spacing w:after="40" w:before="40"/>
      </w:pPr>
      <w:r>
        <w:rPr>
          <w:rFonts w:ascii="Arial" w:cs="Arial" w:eastAsia="Arial" w:hAnsi="Arial"/>
          <w:sz w:val="20"/>
          <w:szCs w:val="20"/>
        </w:rPr>
        <w:t xml:space="preserve">Information Officer designation in system settings</w:t>
      </w:r>
    </w:p>
    <w:p>
      <w:pPr>
        <w:pStyle w:val="ListParagraph"/>
        <w:numPr>
          <w:ilvl w:val="0"/>
          <w:numId w:val="2"/>
        </w:numPr>
        <w:spacing w:after="40" w:before="40"/>
      </w:pPr>
      <w:r>
        <w:rPr>
          <w:rFonts w:ascii="Arial" w:cs="Arial" w:eastAsia="Arial" w:hAnsi="Arial"/>
          <w:sz w:val="20"/>
          <w:szCs w:val="20"/>
        </w:rPr>
        <w:t xml:space="preserve">Privacy impact assessment tracking for new processes</w:t>
      </w:r>
    </w:p>
    <w:p>
      <w:pPr>
        <w:pStyle w:val="ListParagraph"/>
        <w:numPr>
          <w:ilvl w:val="0"/>
          <w:numId w:val="2"/>
        </w:numPr>
        <w:spacing w:after="40" w:before="40"/>
      </w:pPr>
      <w:r>
        <w:rPr>
          <w:rFonts w:ascii="Arial" w:cs="Arial" w:eastAsia="Arial" w:hAnsi="Arial"/>
          <w:sz w:val="20"/>
          <w:szCs w:val="20"/>
        </w:rPr>
        <w:t xml:space="preserve">data_breach_register: breach_date, description, data_subjects_affected, information_regulator_notified, notification_date</w:t>
      </w:r>
    </w:p>
    <w:p>
      <w:pPr>
        <w:spacing w:after="0" w:before="120"/>
      </w:pPr>
      <w:r>
        <w:t xml:space="preserve"/>
      </w:r>
    </w:p>
    <w:p>
      <w:pPr>
        <w:pStyle w:val="Heading2"/>
      </w:pPr>
      <w:r>
        <w:t xml:space="preserve">4.6 Replacement Policy Disclosure</w:t>
      </w:r>
    </w:p>
    <w:p>
      <w:r>
        <w:rPr>
          <w:b/>
          <w:bCs/>
          <w:sz w:val="20"/>
          <w:szCs w:val="20"/>
        </w:rPr>
        <w:t xml:space="preserve">Governing legislation: </w:t>
      </w:r>
      <w:r>
        <w:rPr>
          <w:sz w:val="20"/>
          <w:szCs w:val="20"/>
        </w:rPr>
        <w:t xml:space="preserve">FAIS General Code s8A</w:t>
      </w:r>
    </w:p>
    <w:p>
      <w:pPr>
        <w:spacing w:after="120"/>
      </w:pPr>
      <w:r>
        <w:rPr>
          <w:b/>
          <w:bCs/>
          <w:color w:val="ED7D31"/>
          <w:sz w:val="20"/>
          <w:szCs w:val="20"/>
        </w:rPr>
        <w:t xml:space="preserve">Current state: </w:t>
      </w:r>
      <w:r>
        <w:rPr>
          <w:sz w:val="20"/>
          <w:szCs w:val="20"/>
        </w:rPr>
        <w:t xml:space="preserve">Partially covered. A replacement_policy_id exists on policies and 'Replacement Cover' is an engagement type, but no formal comparison or disadvantage disclosure fields exist.</w:t>
      </w:r>
    </w:p>
    <w:p>
      <w:pPr>
        <w:spacing w:after="60"/>
      </w:pPr>
      <w:r>
        <w:rPr>
          <w:b/>
          <w:bCs/>
          <w:color w:val="2E75B6"/>
          <w:sz w:val="20"/>
          <w:szCs w:val="20"/>
        </w:rPr>
        <w:t xml:space="preserve">Recommendation:</w:t>
      </w:r>
    </w:p>
    <w:p>
      <w:r>
        <w:rPr>
          <w:sz w:val="20"/>
          <w:szCs w:val="20"/>
        </w:rPr>
        <w:t xml:space="preserve">Add to engagements or advice_records:</w:t>
      </w:r>
    </w:p>
    <w:p>
      <w:pPr>
        <w:pStyle w:val="ListParagraph"/>
        <w:numPr>
          <w:ilvl w:val="0"/>
          <w:numId w:val="2"/>
        </w:numPr>
        <w:spacing w:after="40" w:before="40"/>
      </w:pPr>
      <w:r>
        <w:rPr>
          <w:rFonts w:ascii="Arial" w:cs="Arial" w:eastAsia="Arial" w:hAnsi="Arial"/>
          <w:sz w:val="20"/>
          <w:szCs w:val="20"/>
        </w:rPr>
        <w:t xml:space="preserve">existing_policy_details, existing_benefits, existing_costs</w:t>
      </w:r>
    </w:p>
    <w:p>
      <w:pPr>
        <w:pStyle w:val="ListParagraph"/>
        <w:numPr>
          <w:ilvl w:val="0"/>
          <w:numId w:val="2"/>
        </w:numPr>
        <w:spacing w:after="40" w:before="40"/>
      </w:pPr>
      <w:r>
        <w:rPr>
          <w:rFonts w:ascii="Arial" w:cs="Arial" w:eastAsia="Arial" w:hAnsi="Arial"/>
          <w:sz w:val="20"/>
          <w:szCs w:val="20"/>
        </w:rPr>
        <w:t xml:space="preserve">proposed_benefits, proposed_costs</w:t>
      </w:r>
    </w:p>
    <w:p>
      <w:pPr>
        <w:pStyle w:val="ListParagraph"/>
        <w:numPr>
          <w:ilvl w:val="0"/>
          <w:numId w:val="2"/>
        </w:numPr>
        <w:spacing w:after="40" w:before="40"/>
      </w:pPr>
      <w:r>
        <w:rPr>
          <w:rFonts w:ascii="Arial" w:cs="Arial" w:eastAsia="Arial" w:hAnsi="Arial"/>
          <w:sz w:val="20"/>
          <w:szCs w:val="20"/>
        </w:rPr>
        <w:t xml:space="preserve">disadvantages_of_replacement (mandatory disclosure field)</w:t>
      </w:r>
    </w:p>
    <w:p>
      <w:pPr>
        <w:pStyle w:val="ListParagraph"/>
        <w:numPr>
          <w:ilvl w:val="0"/>
          <w:numId w:val="2"/>
        </w:numPr>
        <w:spacing w:after="40" w:before="40"/>
      </w:pPr>
      <w:r>
        <w:rPr>
          <w:rFonts w:ascii="Arial" w:cs="Arial" w:eastAsia="Arial" w:hAnsi="Arial"/>
          <w:sz w:val="20"/>
          <w:szCs w:val="20"/>
        </w:rPr>
        <w:t xml:space="preserve">cooling_off_period_explained (PPR Rule 5 - 31 days)</w:t>
      </w:r>
    </w:p>
    <w:p>
      <w:pPr>
        <w:pStyle w:val="ListParagraph"/>
        <w:numPr>
          <w:ilvl w:val="0"/>
          <w:numId w:val="2"/>
        </w:numPr>
        <w:spacing w:after="40" w:before="40"/>
      </w:pPr>
      <w:r>
        <w:rPr>
          <w:rFonts w:ascii="Arial" w:cs="Arial" w:eastAsia="Arial" w:hAnsi="Arial"/>
          <w:sz w:val="20"/>
          <w:szCs w:val="20"/>
        </w:rPr>
        <w:t xml:space="preserve">client_confirmed_replacement_understanding (boolean)</w:t>
      </w:r>
    </w:p>
    <w:p>
      <w:r>
        <w:br w:type="page"/>
      </w:r>
    </w:p>
    <w:p>
      <w:pPr>
        <w:pStyle w:val="Heading1"/>
      </w:pPr>
      <w:r>
        <w:t xml:space="preserve">5. High Priority Gaps (COFI Readiness)</w:t>
      </w:r>
    </w:p>
    <w:p>
      <w:pPr>
        <w:spacing w:after="200"/>
      </w:pPr>
      <w:r>
        <w:rPr>
          <w:sz w:val="20"/>
          <w:szCs w:val="20"/>
        </w:rPr>
        <w:t xml:space="preserve">The following gaps are not necessarily non-compliant under current legislation but represent critical preparation areas for the COFI Act. With the Bill expected to be tabled and a 3-year transition period anticipated, addressing these gaps now will ensure a smooth transition.</w:t>
      </w:r>
    </w:p>
    <w:p>
      <w:pPr>
        <w:pStyle w:val="Heading2"/>
      </w:pPr>
      <w:r>
        <w:t xml:space="preserve">5.1 Governance and Culture Framework</w:t>
      </w:r>
    </w:p>
    <w:p>
      <w:r>
        <w:rPr>
          <w:b/>
          <w:bCs/>
          <w:sz w:val="20"/>
          <w:szCs w:val="20"/>
        </w:rPr>
        <w:t xml:space="preserve">COFI requirement: </w:t>
      </w:r>
      <w:r>
        <w:rPr>
          <w:sz w:val="20"/>
          <w:szCs w:val="20"/>
        </w:rPr>
        <w:t xml:space="preserve">Chapter 3 - Financial institutions must demonstrate an ethical culture with board-level accountability for conduct outcomes.</w:t>
      </w:r>
    </w:p>
    <w:p>
      <w:pPr>
        <w:spacing w:after="120"/>
      </w:pPr>
      <w:r>
        <w:rPr>
          <w:b/>
          <w:bCs/>
          <w:color w:val="C00000"/>
          <w:sz w:val="20"/>
          <w:szCs w:val="20"/>
        </w:rPr>
        <w:t xml:space="preserve">Current state: </w:t>
      </w:r>
      <w:r>
        <w:rPr>
          <w:sz w:val="20"/>
          <w:szCs w:val="20"/>
        </w:rPr>
        <w:t xml:space="preserve">Not modelled. While individual conduct flags exist, there is no aggregate governance or culture assessment framework.</w:t>
      </w:r>
    </w:p>
    <w:p>
      <w:pPr>
        <w:spacing w:after="60"/>
      </w:pPr>
      <w:r>
        <w:rPr>
          <w:b/>
          <w:bCs/>
          <w:color w:val="2E75B6"/>
          <w:sz w:val="20"/>
          <w:szCs w:val="20"/>
        </w:rPr>
        <w:t xml:space="preserve">Recommendation:</w:t>
      </w:r>
    </w:p>
    <w:p>
      <w:pPr>
        <w:pStyle w:val="ListParagraph"/>
        <w:numPr>
          <w:ilvl w:val="0"/>
          <w:numId w:val="2"/>
        </w:numPr>
        <w:spacing w:after="40" w:before="40"/>
      </w:pPr>
      <w:r>
        <w:rPr>
          <w:rFonts w:ascii="Arial" w:cs="Arial" w:eastAsia="Arial" w:hAnsi="Arial"/>
          <w:sz w:val="20"/>
          <w:szCs w:val="20"/>
        </w:rPr>
        <w:t xml:space="preserve">Create a tcf_assessments table: assessment_period, individual scores for each of the 6 TCF outcomes, evidence_summary, assessor, board_sign_off_date</w:t>
      </w:r>
    </w:p>
    <w:p>
      <w:pPr>
        <w:pStyle w:val="ListParagraph"/>
        <w:numPr>
          <w:ilvl w:val="0"/>
          <w:numId w:val="2"/>
        </w:numPr>
        <w:spacing w:after="40" w:before="40"/>
      </w:pPr>
      <w:r>
        <w:rPr>
          <w:rFonts w:ascii="Arial" w:cs="Arial" w:eastAsia="Arial" w:hAnsi="Arial"/>
          <w:sz w:val="20"/>
          <w:szCs w:val="20"/>
        </w:rPr>
        <w:t xml:space="preserve">Link TCF outcome metrics to complaints trends, claims handling times, and advice suitability</w:t>
      </w:r>
    </w:p>
    <w:p>
      <w:pPr>
        <w:pStyle w:val="ListParagraph"/>
        <w:numPr>
          <w:ilvl w:val="0"/>
          <w:numId w:val="2"/>
        </w:numPr>
        <w:spacing w:after="40" w:before="40"/>
      </w:pPr>
      <w:r>
        <w:rPr>
          <w:rFonts w:ascii="Arial" w:cs="Arial" w:eastAsia="Arial" w:hAnsi="Arial"/>
          <w:sz w:val="20"/>
          <w:szCs w:val="20"/>
        </w:rPr>
        <w:t xml:space="preserve">Build a conduct dashboard aggregating TCF metrics with trend analysis</w:t>
      </w:r>
    </w:p>
    <w:p>
      <w:pPr>
        <w:pStyle w:val="ListParagraph"/>
        <w:numPr>
          <w:ilvl w:val="0"/>
          <w:numId w:val="2"/>
        </w:numPr>
        <w:spacing w:after="40" w:before="40"/>
      </w:pPr>
      <w:r>
        <w:rPr>
          <w:rFonts w:ascii="Arial" w:cs="Arial" w:eastAsia="Arial" w:hAnsi="Arial"/>
          <w:sz w:val="20"/>
          <w:szCs w:val="20"/>
        </w:rPr>
        <w:t xml:space="preserve">Track board meeting minutes and governance decisions related to conduct</w:t>
      </w:r>
    </w:p>
    <w:p>
      <w:pPr>
        <w:spacing w:after="0" w:before="120"/>
      </w:pPr>
      <w:r>
        <w:t xml:space="preserve"/>
      </w:r>
    </w:p>
    <w:p>
      <w:pPr>
        <w:pStyle w:val="Heading2"/>
      </w:pPr>
      <w:r>
        <w:t xml:space="preserve">5.2 Product Supplier Due Diligence</w:t>
      </w:r>
    </w:p>
    <w:p>
      <w:r>
        <w:rPr>
          <w:b/>
          <w:bCs/>
          <w:sz w:val="20"/>
          <w:szCs w:val="20"/>
        </w:rPr>
        <w:t xml:space="preserve">FAIS requirement: </w:t>
      </w:r>
      <w:r>
        <w:rPr>
          <w:sz w:val="20"/>
          <w:szCs w:val="20"/>
        </w:rPr>
        <w:t xml:space="preserve">General Code s3A - Must conduct due diligence on product suppliers before recommending their products.</w:t>
      </w:r>
    </w:p>
    <w:p>
      <w:pPr>
        <w:spacing w:after="120"/>
      </w:pPr>
      <w:r>
        <w:rPr>
          <w:b/>
          <w:bCs/>
          <w:color w:val="C00000"/>
          <w:sz w:val="20"/>
          <w:szCs w:val="20"/>
        </w:rPr>
        <w:t xml:space="preserve">Current state: </w:t>
      </w:r>
      <w:r>
        <w:rPr>
          <w:sz w:val="20"/>
          <w:szCs w:val="20"/>
        </w:rPr>
        <w:t xml:space="preserve">Missing. Insurers are stored as free text on policies. No structured due diligence records.</w:t>
      </w:r>
    </w:p>
    <w:p>
      <w:pPr>
        <w:spacing w:after="60"/>
      </w:pPr>
      <w:r>
        <w:rPr>
          <w:b/>
          <w:bCs/>
          <w:color w:val="2E75B6"/>
          <w:sz w:val="20"/>
          <w:szCs w:val="20"/>
        </w:rPr>
        <w:t xml:space="preserve">Recommendation:</w:t>
      </w:r>
    </w:p>
    <w:p>
      <w:pPr>
        <w:pStyle w:val="ListParagraph"/>
        <w:numPr>
          <w:ilvl w:val="0"/>
          <w:numId w:val="2"/>
        </w:numPr>
        <w:spacing w:after="40" w:before="40"/>
      </w:pPr>
      <w:r>
        <w:rPr>
          <w:rFonts w:ascii="Arial" w:cs="Arial" w:eastAsia="Arial" w:hAnsi="Arial"/>
          <w:sz w:val="20"/>
          <w:szCs w:val="20"/>
        </w:rPr>
        <w:t xml:space="preserve">Create an insurer_due_diligence table: insurer_name, licence_status, financial_soundness_rating, claims_paying_ability, complaints_history, last_review_date, approved_for_use (boolean), approved_by</w:t>
      </w:r>
    </w:p>
    <w:p>
      <w:pPr>
        <w:pStyle w:val="ListParagraph"/>
        <w:numPr>
          <w:ilvl w:val="0"/>
          <w:numId w:val="2"/>
        </w:numPr>
        <w:spacing w:after="40" w:before="40"/>
      </w:pPr>
      <w:r>
        <w:rPr>
          <w:rFonts w:ascii="Arial" w:cs="Arial" w:eastAsia="Arial" w:hAnsi="Arial"/>
          <w:sz w:val="20"/>
          <w:szCs w:val="20"/>
        </w:rPr>
        <w:t xml:space="preserve">Normalize insurer references across policies (replace free-text with FK to insurers table)</w:t>
      </w:r>
    </w:p>
    <w:p>
      <w:pPr>
        <w:pStyle w:val="ListParagraph"/>
        <w:numPr>
          <w:ilvl w:val="0"/>
          <w:numId w:val="2"/>
        </w:numPr>
        <w:spacing w:after="40" w:before="40"/>
      </w:pPr>
      <w:r>
        <w:rPr>
          <w:rFonts w:ascii="Arial" w:cs="Arial" w:eastAsia="Arial" w:hAnsi="Arial"/>
          <w:sz w:val="20"/>
          <w:szCs w:val="20"/>
        </w:rPr>
        <w:t xml:space="preserve">Link due diligence records to advice record recommendations</w:t>
      </w:r>
    </w:p>
    <w:p>
      <w:pPr>
        <w:spacing w:after="0" w:before="120"/>
      </w:pPr>
      <w:r>
        <w:t xml:space="preserve"/>
      </w:r>
    </w:p>
    <w:p>
      <w:pPr>
        <w:pStyle w:val="Heading2"/>
      </w:pPr>
      <w:r>
        <w:t xml:space="preserve">5.3 CPD Tracking</w:t>
      </w:r>
    </w:p>
    <w:p>
      <w:r>
        <w:rPr>
          <w:b/>
          <w:bCs/>
          <w:sz w:val="20"/>
          <w:szCs w:val="20"/>
        </w:rPr>
        <w:t xml:space="preserve">Governing legislation: </w:t>
      </w:r>
      <w:r>
        <w:rPr>
          <w:sz w:val="20"/>
          <w:szCs w:val="20"/>
        </w:rPr>
        <w:t xml:space="preserve">Board Notice 194 of 2017 - Fit and Proper requirements</w:t>
      </w:r>
    </w:p>
    <w:p>
      <w:pPr>
        <w:spacing w:after="120"/>
      </w:pPr>
      <w:r>
        <w:rPr>
          <w:b/>
          <w:bCs/>
          <w:color w:val="C00000"/>
          <w:sz w:val="20"/>
          <w:szCs w:val="20"/>
        </w:rPr>
        <w:t xml:space="preserve">Current state: </w:t>
      </w:r>
      <w:r>
        <w:rPr>
          <w:sz w:val="20"/>
          <w:szCs w:val="20"/>
        </w:rPr>
        <w:t xml:space="preserve">Not modelled. No CPD records, tracking, or alerts exist in the system.</w:t>
      </w:r>
    </w:p>
    <w:p>
      <w:pPr>
        <w:spacing w:after="60"/>
      </w:pPr>
      <w:r>
        <w:rPr>
          <w:b/>
          <w:bCs/>
          <w:color w:val="2E75B6"/>
          <w:sz w:val="20"/>
          <w:szCs w:val="20"/>
        </w:rPr>
        <w:t xml:space="preserve">Recommendation:</w:t>
      </w:r>
    </w:p>
    <w:p>
      <w:pPr>
        <w:pStyle w:val="ListParagraph"/>
        <w:numPr>
          <w:ilvl w:val="0"/>
          <w:numId w:val="2"/>
        </w:numPr>
        <w:spacing w:after="40" w:before="40"/>
      </w:pPr>
      <w:r>
        <w:rPr>
          <w:rFonts w:ascii="Arial" w:cs="Arial" w:eastAsia="Arial" w:hAnsi="Arial"/>
          <w:sz w:val="20"/>
          <w:szCs w:val="20"/>
        </w:rPr>
        <w:t xml:space="preserve">Create a cpd_records table: user_id, activity_name, provider, date_completed, hours, category (Ethics/Product Knowledge/Regulatory/Business Skills), certificate_document_id, cpd_cycle</w:t>
      </w:r>
    </w:p>
    <w:p>
      <w:pPr>
        <w:pStyle w:val="ListParagraph"/>
        <w:numPr>
          <w:ilvl w:val="0"/>
          <w:numId w:val="2"/>
        </w:numPr>
        <w:spacing w:after="40" w:before="40"/>
      </w:pPr>
      <w:r>
        <w:rPr>
          <w:rFonts w:ascii="Arial" w:cs="Arial" w:eastAsia="Arial" w:hAnsi="Arial"/>
          <w:sz w:val="20"/>
          <w:szCs w:val="20"/>
        </w:rPr>
        <w:t xml:space="preserve">CPD cycle runs 1 June to 31 May annually</w:t>
      </w:r>
    </w:p>
    <w:p>
      <w:pPr>
        <w:pStyle w:val="ListParagraph"/>
        <w:numPr>
          <w:ilvl w:val="0"/>
          <w:numId w:val="2"/>
        </w:numPr>
        <w:spacing w:after="40" w:before="40"/>
      </w:pPr>
      <w:r>
        <w:rPr>
          <w:rFonts w:ascii="Arial" w:cs="Arial" w:eastAsia="Arial" w:hAnsi="Arial"/>
          <w:sz w:val="20"/>
          <w:szCs w:val="20"/>
        </w:rPr>
        <w:t xml:space="preserve">Hours required: 6 (single subclass), 12 (multiple subclasses within one class), 18 (multiple classes of business)</w:t>
      </w:r>
    </w:p>
    <w:p>
      <w:pPr>
        <w:pStyle w:val="ListParagraph"/>
        <w:numPr>
          <w:ilvl w:val="0"/>
          <w:numId w:val="2"/>
        </w:numPr>
        <w:spacing w:after="40" w:before="40"/>
      </w:pPr>
      <w:r>
        <w:rPr>
          <w:rFonts w:ascii="Arial" w:cs="Arial" w:eastAsia="Arial" w:hAnsi="Arial"/>
          <w:sz w:val="20"/>
          <w:szCs w:val="20"/>
        </w:rPr>
        <w:t xml:space="preserve">Dashboard showing hours completed vs required per broker per cycle</w:t>
      </w:r>
    </w:p>
    <w:p>
      <w:pPr>
        <w:pStyle w:val="ListParagraph"/>
        <w:numPr>
          <w:ilvl w:val="0"/>
          <w:numId w:val="2"/>
        </w:numPr>
        <w:spacing w:after="40" w:before="40"/>
      </w:pPr>
      <w:r>
        <w:rPr>
          <w:rFonts w:ascii="Arial" w:cs="Arial" w:eastAsia="Arial" w:hAnsi="Arial"/>
          <w:sz w:val="20"/>
          <w:szCs w:val="20"/>
        </w:rPr>
        <w:t xml:space="preserve">Automated alerts for approaching deadline (31 May)</w:t>
      </w:r>
    </w:p>
    <w:p>
      <w:pPr>
        <w:spacing w:after="0" w:before="120"/>
      </w:pPr>
      <w:r>
        <w:t xml:space="preserve"/>
      </w:r>
    </w:p>
    <w:p>
      <w:pPr>
        <w:pStyle w:val="Heading2"/>
      </w:pPr>
      <w:r>
        <w:t xml:space="preserve">5.4 Fit and Proper Management</w:t>
      </w:r>
    </w:p>
    <w:p>
      <w:pPr>
        <w:spacing w:after="120"/>
      </w:pPr>
      <w:r>
        <w:rPr>
          <w:b/>
          <w:bCs/>
          <w:color w:val="C00000"/>
          <w:sz w:val="20"/>
          <w:szCs w:val="20"/>
        </w:rPr>
        <w:t xml:space="preserve">Current state: </w:t>
      </w:r>
      <w:r>
        <w:rPr>
          <w:sz w:val="20"/>
          <w:szCs w:val="20"/>
        </w:rPr>
        <w:t xml:space="preserve">Not modelled beyond basic user fields. The four pillars of Fit and Proper are not tracked.</w:t>
      </w:r>
    </w:p>
    <w:p>
      <w:pPr>
        <w:spacing w:after="60"/>
      </w:pPr>
      <w:r>
        <w:rPr>
          <w:b/>
          <w:bCs/>
          <w:color w:val="2E75B6"/>
          <w:sz w:val="20"/>
          <w:szCs w:val="20"/>
        </w:rPr>
        <w:t xml:space="preserve">Recommendation:</w:t>
      </w:r>
    </w:p>
    <w:p>
      <w:r>
        <w:rPr>
          <w:sz w:val="20"/>
          <w:szCs w:val="20"/>
        </w:rPr>
        <w:t xml:space="preserve">Add to users or create a broker_compliance table:</w:t>
      </w:r>
    </w:p>
    <w:p>
      <w:pPr>
        <w:pStyle w:val="ListParagraph"/>
        <w:numPr>
          <w:ilvl w:val="0"/>
          <w:numId w:val="2"/>
        </w:numPr>
        <w:spacing w:after="40" w:before="40"/>
      </w:pPr>
      <w:r>
        <w:rPr>
          <w:rFonts w:ascii="Arial" w:cs="Arial" w:eastAsia="Arial" w:hAnsi="Arial"/>
          <w:sz w:val="20"/>
          <w:szCs w:val="20"/>
        </w:rPr>
        <w:t xml:space="preserve">Competency: RE exam passed (RE1/RE5), exam date, class of business training completed, qualification level (NQF 4/5/6+), experience start date</w:t>
      </w:r>
    </w:p>
    <w:p>
      <w:pPr>
        <w:pStyle w:val="ListParagraph"/>
        <w:numPr>
          <w:ilvl w:val="0"/>
          <w:numId w:val="2"/>
        </w:numPr>
        <w:spacing w:after="40" w:before="40"/>
      </w:pPr>
      <w:r>
        <w:rPr>
          <w:rFonts w:ascii="Arial" w:cs="Arial" w:eastAsia="Arial" w:hAnsi="Arial"/>
          <w:sz w:val="20"/>
          <w:szCs w:val="20"/>
        </w:rPr>
        <w:t xml:space="preserve">Honesty: honesty declaration date, criminal record check date, debarment check date</w:t>
      </w:r>
    </w:p>
    <w:p>
      <w:pPr>
        <w:pStyle w:val="ListParagraph"/>
        <w:numPr>
          <w:ilvl w:val="0"/>
          <w:numId w:val="2"/>
        </w:numPr>
        <w:spacing w:after="40" w:before="40"/>
      </w:pPr>
      <w:r>
        <w:rPr>
          <w:rFonts w:ascii="Arial" w:cs="Arial" w:eastAsia="Arial" w:hAnsi="Arial"/>
          <w:sz w:val="20"/>
          <w:szCs w:val="20"/>
        </w:rPr>
        <w:t xml:space="preserve">Operational ability: tracked via system capabilities</w:t>
      </w:r>
    </w:p>
    <w:p>
      <w:pPr>
        <w:pStyle w:val="ListParagraph"/>
        <w:numPr>
          <w:ilvl w:val="0"/>
          <w:numId w:val="2"/>
        </w:numPr>
        <w:spacing w:after="40" w:before="40"/>
      </w:pPr>
      <w:r>
        <w:rPr>
          <w:rFonts w:ascii="Arial" w:cs="Arial" w:eastAsia="Arial" w:hAnsi="Arial"/>
          <w:sz w:val="20"/>
          <w:szCs w:val="20"/>
        </w:rPr>
        <w:t xml:space="preserve">Financial soundness: PI cover details, fidelity guarantee</w:t>
      </w:r>
    </w:p>
    <w:p>
      <w:pPr>
        <w:spacing w:after="0" w:before="120"/>
      </w:pPr>
      <w:r>
        <w:t xml:space="preserve"/>
      </w:r>
    </w:p>
    <w:p>
      <w:pPr>
        <w:pStyle w:val="Heading2"/>
      </w:pPr>
      <w:r>
        <w:t xml:space="preserve">5.5 Activity-Based Licensing Readiness</w:t>
      </w:r>
    </w:p>
    <w:p>
      <w:r>
        <w:rPr>
          <w:b/>
          <w:bCs/>
          <w:sz w:val="20"/>
          <w:szCs w:val="20"/>
        </w:rPr>
        <w:t xml:space="preserve">COFI requirement: </w:t>
      </w:r>
      <w:r>
        <w:rPr>
          <w:sz w:val="20"/>
          <w:szCs w:val="20"/>
        </w:rPr>
        <w:t xml:space="preserve">Replaces entity-based licensing with activity-based licensing on three levels: activity, product, and target customer.</w:t>
      </w:r>
    </w:p>
    <w:p>
      <w:pPr>
        <w:spacing w:after="120"/>
      </w:pPr>
      <w:r>
        <w:rPr>
          <w:b/>
          <w:bCs/>
          <w:color w:val="C00000"/>
          <w:sz w:val="20"/>
          <w:szCs w:val="20"/>
        </w:rPr>
        <w:t xml:space="preserve">Current state: </w:t>
      </w:r>
      <w:r>
        <w:rPr>
          <w:sz w:val="20"/>
          <w:szCs w:val="20"/>
        </w:rPr>
        <w:t xml:space="preserve">Not modelled. No tracking of which activities or product categories individual brokers are licensed for.</w:t>
      </w:r>
    </w:p>
    <w:p>
      <w:pPr>
        <w:spacing w:after="60"/>
      </w:pPr>
      <w:r>
        <w:rPr>
          <w:b/>
          <w:bCs/>
          <w:color w:val="2E75B6"/>
          <w:sz w:val="20"/>
          <w:szCs w:val="20"/>
        </w:rPr>
        <w:t xml:space="preserve">Recommendation:</w:t>
      </w:r>
    </w:p>
    <w:p>
      <w:pPr>
        <w:pStyle w:val="ListParagraph"/>
        <w:numPr>
          <w:ilvl w:val="0"/>
          <w:numId w:val="2"/>
        </w:numPr>
        <w:spacing w:after="40" w:before="40"/>
      </w:pPr>
      <w:r>
        <w:rPr>
          <w:rFonts w:ascii="Arial" w:cs="Arial" w:eastAsia="Arial" w:hAnsi="Arial"/>
          <w:sz w:val="20"/>
          <w:szCs w:val="20"/>
        </w:rPr>
        <w:t xml:space="preserve">Create a licensed_activities table: user_id, activity_type, product_category, customer_segment, licence_reference, effective_date, expiry_date</w:t>
      </w:r>
    </w:p>
    <w:p>
      <w:pPr>
        <w:pStyle w:val="ListParagraph"/>
        <w:numPr>
          <w:ilvl w:val="0"/>
          <w:numId w:val="2"/>
        </w:numPr>
        <w:spacing w:after="40" w:before="40"/>
      </w:pPr>
      <w:r>
        <w:rPr>
          <w:rFonts w:ascii="Arial" w:cs="Arial" w:eastAsia="Arial" w:hAnsi="Arial"/>
          <w:sz w:val="20"/>
          <w:szCs w:val="20"/>
        </w:rPr>
        <w:t xml:space="preserve">Implement validation logic to prevent brokers from servicing product categories they are not licensed for</w:t>
      </w:r>
    </w:p>
    <w:p>
      <w:pPr>
        <w:pStyle w:val="ListParagraph"/>
        <w:numPr>
          <w:ilvl w:val="0"/>
          <w:numId w:val="2"/>
        </w:numPr>
        <w:spacing w:after="40" w:before="40"/>
      </w:pPr>
      <w:r>
        <w:rPr>
          <w:rFonts w:ascii="Arial" w:cs="Arial" w:eastAsia="Arial" w:hAnsi="Arial"/>
          <w:sz w:val="20"/>
          <w:szCs w:val="20"/>
        </w:rPr>
        <w:t xml:space="preserve">This becomes a critical system control under COFI</w:t>
      </w:r>
    </w:p>
    <w:p>
      <w:r>
        <w:br w:type="page"/>
      </w:r>
    </w:p>
    <w:p>
      <w:pPr>
        <w:pStyle w:val="Heading1"/>
      </w:pPr>
      <w:r>
        <w:t xml:space="preserve">6. Medium Priority Improvements</w:t>
      </w:r>
    </w:p>
    <w:p>
      <w:pPr>
        <w:spacing w:after="200"/>
      </w:pPr>
      <w:r>
        <w:rPr>
          <w:sz w:val="20"/>
          <w:szCs w:val="20"/>
        </w:rPr>
        <w:t xml:space="preserve">These improvements enhance the operational compliance maturity of the platform and close secondary regulatory gaps.</w:t>
      </w:r>
    </w:p>
    <w:p>
      <w:pPr>
        <w:pStyle w:val="Heading2"/>
      </w:pPr>
      <w:r>
        <w:t xml:space="preserve">6.1 Complaints Framework Enhancement</w:t>
      </w:r>
    </w:p>
    <w:p>
      <w:pPr>
        <w:spacing w:after="100"/>
      </w:pPr>
      <w:r>
        <w:rPr>
          <w:sz w:val="20"/>
          <w:szCs w:val="20"/>
        </w:rPr>
        <w:t xml:space="preserve">The existing framework is strong but missing FSCA reporting fields and SLA enforcement.</w:t>
      </w:r>
    </w:p>
    <w:p>
      <w:pPr>
        <w:pStyle w:val="ListParagraph"/>
        <w:numPr>
          <w:ilvl w:val="0"/>
          <w:numId w:val="2"/>
        </w:numPr>
        <w:spacing w:after="40" w:before="40"/>
      </w:pPr>
      <w:r>
        <w:rPr>
          <w:rFonts w:ascii="Arial" w:cs="Arial" w:eastAsia="Arial" w:hAnsi="Arial"/>
          <w:sz w:val="20"/>
          <w:szCs w:val="20"/>
        </w:rPr>
        <w:t xml:space="preserve">Add complaint_response_letters tracking</w:t>
      </w:r>
    </w:p>
    <w:p>
      <w:pPr>
        <w:pStyle w:val="ListParagraph"/>
        <w:numPr>
          <w:ilvl w:val="0"/>
          <w:numId w:val="2"/>
        </w:numPr>
        <w:spacing w:after="40" w:before="40"/>
      </w:pPr>
      <w:r>
        <w:rPr>
          <w:rFonts w:ascii="Arial" w:cs="Arial" w:eastAsia="Arial" w:hAnsi="Arial"/>
          <w:sz w:val="20"/>
          <w:szCs w:val="20"/>
        </w:rPr>
        <w:t xml:space="preserve">Calculate response_within_sla automatically</w:t>
      </w:r>
    </w:p>
    <w:p>
      <w:pPr>
        <w:pStyle w:val="ListParagraph"/>
        <w:numPr>
          <w:ilvl w:val="0"/>
          <w:numId w:val="2"/>
        </w:numPr>
        <w:spacing w:after="40" w:before="40"/>
      </w:pPr>
      <w:r>
        <w:rPr>
          <w:rFonts w:ascii="Arial" w:cs="Arial" w:eastAsia="Arial" w:hAnsi="Arial"/>
          <w:sz w:val="20"/>
          <w:szCs w:val="20"/>
        </w:rPr>
        <w:t xml:space="preserve">Track ombud_reference_number and ombud_outcome</w:t>
      </w:r>
    </w:p>
    <w:p>
      <w:pPr>
        <w:pStyle w:val="ListParagraph"/>
        <w:numPr>
          <w:ilvl w:val="0"/>
          <w:numId w:val="2"/>
        </w:numPr>
        <w:spacing w:after="40" w:before="40"/>
      </w:pPr>
      <w:r>
        <w:rPr>
          <w:rFonts w:ascii="Arial" w:cs="Arial" w:eastAsia="Arial" w:hAnsi="Arial"/>
          <w:sz w:val="20"/>
          <w:szCs w:val="20"/>
        </w:rPr>
        <w:t xml:space="preserve">Add systemic_issue_flag for pattern detection</w:t>
      </w:r>
    </w:p>
    <w:p>
      <w:pPr>
        <w:pStyle w:val="ListParagraph"/>
        <w:numPr>
          <w:ilvl w:val="0"/>
          <w:numId w:val="2"/>
        </w:numPr>
        <w:spacing w:after="40" w:before="40"/>
      </w:pPr>
      <w:r>
        <w:rPr>
          <w:rFonts w:ascii="Arial" w:cs="Arial" w:eastAsia="Arial" w:hAnsi="Arial"/>
          <w:sz w:val="20"/>
          <w:szCs w:val="20"/>
        </w:rPr>
        <w:t xml:space="preserve">Build quarterly FSCA complaints reporting aggregation</w:t>
      </w:r>
    </w:p>
    <w:p>
      <w:pPr>
        <w:pStyle w:val="ListParagraph"/>
        <w:numPr>
          <w:ilvl w:val="0"/>
          <w:numId w:val="2"/>
        </w:numPr>
        <w:spacing w:after="40" w:before="40"/>
      </w:pPr>
      <w:r>
        <w:rPr>
          <w:rFonts w:ascii="Arial" w:cs="Arial" w:eastAsia="Arial" w:hAnsi="Arial"/>
          <w:sz w:val="20"/>
          <w:szCs w:val="20"/>
        </w:rPr>
        <w:t xml:space="preserve">Track complaint acknowledgement within 24 hours</w:t>
      </w:r>
    </w:p>
    <w:p>
      <w:pPr>
        <w:spacing w:after="0" w:before="120"/>
      </w:pPr>
      <w:r>
        <w:t xml:space="preserve"/>
      </w:r>
    </w:p>
    <w:p>
      <w:pPr>
        <w:pStyle w:val="Heading2"/>
      </w:pPr>
      <w:r>
        <w:t xml:space="preserve">6.2 Claims SLA Management</w:t>
      </w:r>
    </w:p>
    <w:p>
      <w:pPr>
        <w:spacing w:after="100"/>
      </w:pPr>
      <w:r>
        <w:rPr>
          <w:sz w:val="20"/>
          <w:szCs w:val="20"/>
        </w:rPr>
        <w:t xml:space="preserve">The delay flag mechanism is good but should be expanded to full SLA tracking.</w:t>
      </w:r>
    </w:p>
    <w:p>
      <w:pPr>
        <w:pStyle w:val="ListParagraph"/>
        <w:numPr>
          <w:ilvl w:val="0"/>
          <w:numId w:val="2"/>
        </w:numPr>
        <w:spacing w:after="40" w:before="40"/>
      </w:pPr>
      <w:r>
        <w:rPr>
          <w:rFonts w:ascii="Arial" w:cs="Arial" w:eastAsia="Arial" w:hAnsi="Arial"/>
          <w:sz w:val="20"/>
          <w:szCs w:val="20"/>
        </w:rPr>
        <w:t xml:space="preserve">Add insurer_reference_number, assessor_assigned, assessor_name</w:t>
      </w:r>
    </w:p>
    <w:p>
      <w:pPr>
        <w:pStyle w:val="ListParagraph"/>
        <w:numPr>
          <w:ilvl w:val="0"/>
          <w:numId w:val="2"/>
        </w:numPr>
        <w:spacing w:after="40" w:before="40"/>
      </w:pPr>
      <w:r>
        <w:rPr>
          <w:rFonts w:ascii="Arial" w:cs="Arial" w:eastAsia="Arial" w:hAnsi="Arial"/>
          <w:sz w:val="20"/>
          <w:szCs w:val="20"/>
        </w:rPr>
        <w:t xml:space="preserve">Track sla_days_target and actual_days_to_settle</w:t>
      </w:r>
    </w:p>
    <w:p>
      <w:pPr>
        <w:pStyle w:val="ListParagraph"/>
        <w:numPr>
          <w:ilvl w:val="0"/>
          <w:numId w:val="2"/>
        </w:numPr>
        <w:spacing w:after="40" w:before="40"/>
      </w:pPr>
      <w:r>
        <w:rPr>
          <w:rFonts w:ascii="Arial" w:cs="Arial" w:eastAsia="Arial" w:hAnsi="Arial"/>
          <w:sz w:val="20"/>
          <w:szCs w:val="20"/>
        </w:rPr>
        <w:t xml:space="preserve">Configurable client_update_frequency_days</w:t>
      </w:r>
    </w:p>
    <w:p>
      <w:pPr>
        <w:pStyle w:val="ListParagraph"/>
        <w:numPr>
          <w:ilvl w:val="0"/>
          <w:numId w:val="2"/>
        </w:numPr>
        <w:spacing w:after="40" w:before="40"/>
      </w:pPr>
      <w:r>
        <w:rPr>
          <w:rFonts w:ascii="Arial" w:cs="Arial" w:eastAsia="Arial" w:hAnsi="Arial"/>
          <w:sz w:val="20"/>
          <w:szCs w:val="20"/>
        </w:rPr>
        <w:t xml:space="preserve">Automated delay_flag calculation (if currently manual)</w:t>
      </w:r>
    </w:p>
    <w:p>
      <w:pPr>
        <w:pStyle w:val="ListParagraph"/>
        <w:numPr>
          <w:ilvl w:val="0"/>
          <w:numId w:val="2"/>
        </w:numPr>
        <w:spacing w:after="40" w:before="40"/>
      </w:pPr>
      <w:r>
        <w:rPr>
          <w:rFonts w:ascii="Arial" w:cs="Arial" w:eastAsia="Arial" w:hAnsi="Arial"/>
          <w:sz w:val="20"/>
          <w:szCs w:val="20"/>
        </w:rPr>
        <w:t xml:space="preserve">Track rejection_appeal_deadline and appeal_submitted</w:t>
      </w:r>
    </w:p>
    <w:p>
      <w:pPr>
        <w:spacing w:after="0" w:before="120"/>
      </w:pPr>
      <w:r>
        <w:t xml:space="preserve"/>
      </w:r>
    </w:p>
    <w:p>
      <w:pPr>
        <w:pStyle w:val="Heading2"/>
      </w:pPr>
      <w:r>
        <w:t xml:space="preserve">6.3 Binder Agreement Tracking</w:t>
      </w:r>
    </w:p>
    <w:p>
      <w:pPr>
        <w:spacing w:after="100"/>
      </w:pPr>
      <w:r>
        <w:rPr>
          <w:sz w:val="20"/>
          <w:szCs w:val="20"/>
        </w:rPr>
        <w:t xml:space="preserve">If any brokers hold binder agreements under Section 48A of the Short-Term Insurance Act, these require formal tracking.</w:t>
      </w:r>
    </w:p>
    <w:p>
      <w:pPr>
        <w:pStyle w:val="ListParagraph"/>
        <w:numPr>
          <w:ilvl w:val="0"/>
          <w:numId w:val="2"/>
        </w:numPr>
        <w:spacing w:after="40" w:before="40"/>
      </w:pPr>
      <w:r>
        <w:rPr>
          <w:rFonts w:ascii="Arial" w:cs="Arial" w:eastAsia="Arial" w:hAnsi="Arial"/>
          <w:sz w:val="20"/>
          <w:szCs w:val="20"/>
        </w:rPr>
        <w:t xml:space="preserve">Create binder_agreements table: insurer_id, binder_type (Enter into/Vary/Renew/Claims), effective_date, expiry_date, notice_period (minimum 90 days), binder_fee_structure</w:t>
      </w:r>
    </w:p>
    <w:p>
      <w:pPr>
        <w:pStyle w:val="ListParagraph"/>
        <w:numPr>
          <w:ilvl w:val="0"/>
          <w:numId w:val="2"/>
        </w:numPr>
        <w:spacing w:after="40" w:before="40"/>
      </w:pPr>
      <w:r>
        <w:rPr>
          <w:rFonts w:ascii="Arial" w:cs="Arial" w:eastAsia="Arial" w:hAnsi="Arial"/>
          <w:sz w:val="20"/>
          <w:szCs w:val="20"/>
        </w:rPr>
        <w:t xml:space="preserve">Track real_time_data_access_confirmed and oversight_mechanism</w:t>
      </w:r>
    </w:p>
    <w:p>
      <w:pPr>
        <w:pStyle w:val="ListParagraph"/>
        <w:numPr>
          <w:ilvl w:val="0"/>
          <w:numId w:val="2"/>
        </w:numPr>
        <w:spacing w:after="40" w:before="40"/>
      </w:pPr>
      <w:r>
        <w:rPr>
          <w:rFonts w:ascii="Arial" w:cs="Arial" w:eastAsia="Arial" w:hAnsi="Arial"/>
          <w:sz w:val="20"/>
          <w:szCs w:val="20"/>
        </w:rPr>
        <w:t xml:space="preserve">Link binder-related policies to the specific agreement</w:t>
      </w:r>
    </w:p>
    <w:p>
      <w:pPr>
        <w:spacing w:after="0" w:before="120"/>
      </w:pPr>
      <w:r>
        <w:t xml:space="preserve"/>
      </w:r>
    </w:p>
    <w:p>
      <w:pPr>
        <w:pStyle w:val="Heading2"/>
      </w:pPr>
      <w:r>
        <w:t xml:space="preserve">6.4 Communication Logging</w:t>
      </w:r>
    </w:p>
    <w:p>
      <w:pPr>
        <w:spacing w:after="100"/>
      </w:pPr>
      <w:r>
        <w:rPr>
          <w:sz w:val="20"/>
          <w:szCs w:val="20"/>
        </w:rPr>
        <w:t xml:space="preserve">The audit trail captures system actions but not client communications. FAIS requires recording all verbal and written communications for 5 years.</w:t>
      </w:r>
    </w:p>
    <w:p>
      <w:pPr>
        <w:pStyle w:val="ListParagraph"/>
        <w:numPr>
          <w:ilvl w:val="0"/>
          <w:numId w:val="2"/>
        </w:numPr>
        <w:spacing w:after="40" w:before="40"/>
      </w:pPr>
      <w:r>
        <w:rPr>
          <w:rFonts w:ascii="Arial" w:cs="Arial" w:eastAsia="Arial" w:hAnsi="Arial"/>
          <w:sz w:val="20"/>
          <w:szCs w:val="20"/>
        </w:rPr>
        <w:t xml:space="preserve">Create communications table: contact_id, direction (Inbound/Outbound), channel (Email/Phone/SMS/In Person/Letter), subject, summary, related_to_module, related_to_id</w:t>
      </w:r>
    </w:p>
    <w:p>
      <w:pPr>
        <w:pStyle w:val="ListParagraph"/>
        <w:numPr>
          <w:ilvl w:val="0"/>
          <w:numId w:val="2"/>
        </w:numPr>
        <w:spacing w:after="40" w:before="40"/>
      </w:pPr>
      <w:r>
        <w:rPr>
          <w:rFonts w:ascii="Arial" w:cs="Arial" w:eastAsia="Arial" w:hAnsi="Arial"/>
          <w:sz w:val="20"/>
          <w:szCs w:val="20"/>
        </w:rPr>
        <w:t xml:space="preserve">Add follow_up_required and follow_up_date fields</w:t>
      </w:r>
    </w:p>
    <w:p>
      <w:pPr>
        <w:pStyle w:val="ListParagraph"/>
        <w:numPr>
          <w:ilvl w:val="0"/>
          <w:numId w:val="2"/>
        </w:numPr>
        <w:spacing w:after="40" w:before="40"/>
      </w:pPr>
      <w:r>
        <w:rPr>
          <w:rFonts w:ascii="Arial" w:cs="Arial" w:eastAsia="Arial" w:hAnsi="Arial"/>
          <w:sz w:val="20"/>
          <w:szCs w:val="20"/>
        </w:rPr>
        <w:t xml:space="preserve">Consider telephone recording integration or note-taking for calls</w:t>
      </w:r>
    </w:p>
    <w:p>
      <w:pPr>
        <w:spacing w:after="0" w:before="120"/>
      </w:pPr>
      <w:r>
        <w:t xml:space="preserve"/>
      </w:r>
    </w:p>
    <w:p>
      <w:pPr>
        <w:pStyle w:val="Heading2"/>
      </w:pPr>
      <w:r>
        <w:t xml:space="preserve">6.5 Data Retention Management</w:t>
      </w:r>
    </w:p>
    <w:p>
      <w:pPr>
        <w:spacing w:after="100"/>
      </w:pPr>
      <w:r>
        <w:rPr>
          <w:sz w:val="20"/>
          <w:szCs w:val="20"/>
        </w:rPr>
        <w:t xml:space="preserve">No data retention lifecycle management exists. FAIS/FICA require 5-year retention; POPIA requires deletion when purpose is fulfilled.</w:t>
      </w:r>
    </w:p>
    <w:p>
      <w:pPr>
        <w:pStyle w:val="ListParagraph"/>
        <w:numPr>
          <w:ilvl w:val="0"/>
          <w:numId w:val="2"/>
        </w:numPr>
        <w:spacing w:after="40" w:before="40"/>
      </w:pPr>
      <w:r>
        <w:rPr>
          <w:rFonts w:ascii="Arial" w:cs="Arial" w:eastAsia="Arial" w:hAnsi="Arial"/>
          <w:sz w:val="20"/>
          <w:szCs w:val="20"/>
        </w:rPr>
        <w:t xml:space="preserve">Add retention_expiry_date calculated fields on key records</w:t>
      </w:r>
    </w:p>
    <w:p>
      <w:pPr>
        <w:pStyle w:val="ListParagraph"/>
        <w:numPr>
          <w:ilvl w:val="0"/>
          <w:numId w:val="2"/>
        </w:numPr>
        <w:spacing w:after="40" w:before="40"/>
      </w:pPr>
      <w:r>
        <w:rPr>
          <w:rFonts w:ascii="Arial" w:cs="Arial" w:eastAsia="Arial" w:hAnsi="Arial"/>
          <w:sz w:val="20"/>
          <w:szCs w:val="20"/>
        </w:rPr>
        <w:t xml:space="preserve">Implement soft delete with anonymization instead of hard delete</w:t>
      </w:r>
    </w:p>
    <w:p>
      <w:pPr>
        <w:pStyle w:val="ListParagraph"/>
        <w:numPr>
          <w:ilvl w:val="0"/>
          <w:numId w:val="2"/>
        </w:numPr>
        <w:spacing w:after="40" w:before="40"/>
      </w:pPr>
      <w:r>
        <w:rPr>
          <w:rFonts w:ascii="Arial" w:cs="Arial" w:eastAsia="Arial" w:hAnsi="Arial"/>
          <w:sz w:val="20"/>
          <w:szCs w:val="20"/>
        </w:rPr>
        <w:t xml:space="preserve">Build a data retention dashboard showing records approaching expiry</w:t>
      </w:r>
    </w:p>
    <w:p>
      <w:pPr>
        <w:pStyle w:val="ListParagraph"/>
        <w:numPr>
          <w:ilvl w:val="0"/>
          <w:numId w:val="2"/>
        </w:numPr>
        <w:spacing w:after="40" w:before="40"/>
      </w:pPr>
      <w:r>
        <w:rPr>
          <w:rFonts w:ascii="Arial" w:cs="Arial" w:eastAsia="Arial" w:hAnsi="Arial"/>
          <w:sz w:val="20"/>
          <w:szCs w:val="20"/>
        </w:rPr>
        <w:t xml:space="preserve">Create automated POPIA-compliant anonymization workflow after retention period</w:t>
      </w:r>
    </w:p>
    <w:p>
      <w:pPr>
        <w:spacing w:after="0" w:before="120"/>
      </w:pPr>
      <w:r>
        <w:t xml:space="preserve"/>
      </w:r>
    </w:p>
    <w:p>
      <w:pPr>
        <w:pStyle w:val="Heading2"/>
      </w:pPr>
      <w:r>
        <w:t xml:space="preserve">6.6 Document Classification</w:t>
      </w:r>
    </w:p>
    <w:p>
      <w:pPr>
        <w:spacing w:after="100"/>
      </w:pPr>
      <w:r>
        <w:rPr>
          <w:sz w:val="20"/>
          <w:szCs w:val="20"/>
        </w:rPr>
        <w:t xml:space="preserve">Documents are stored and linked to entities but not classified by compliance purpose.</w:t>
      </w:r>
    </w:p>
    <w:p>
      <w:pPr>
        <w:pStyle w:val="ListParagraph"/>
        <w:numPr>
          <w:ilvl w:val="0"/>
          <w:numId w:val="2"/>
        </w:numPr>
        <w:spacing w:after="40" w:before="40"/>
      </w:pPr>
      <w:r>
        <w:rPr>
          <w:rFonts w:ascii="Arial" w:cs="Arial" w:eastAsia="Arial" w:hAnsi="Arial"/>
          <w:sz w:val="20"/>
          <w:szCs w:val="20"/>
        </w:rPr>
        <w:t xml:space="preserve">Add document_category: FICA Verification, Advice Record, Policy Schedule, Claim Form, Consent Form, Complaint Correspondence, CPD Certificate, etc.</w:t>
      </w:r>
    </w:p>
    <w:p>
      <w:pPr>
        <w:pStyle w:val="ListParagraph"/>
        <w:numPr>
          <w:ilvl w:val="0"/>
          <w:numId w:val="2"/>
        </w:numPr>
        <w:spacing w:after="40" w:before="40"/>
      </w:pPr>
      <w:r>
        <w:rPr>
          <w:rFonts w:ascii="Arial" w:cs="Arial" w:eastAsia="Arial" w:hAnsi="Arial"/>
          <w:sz w:val="20"/>
          <w:szCs w:val="20"/>
        </w:rPr>
        <w:t xml:space="preserve">Add retention_required_until (calculated from regulatory requirements)</w:t>
      </w:r>
    </w:p>
    <w:p>
      <w:pPr>
        <w:pStyle w:val="ListParagraph"/>
        <w:numPr>
          <w:ilvl w:val="0"/>
          <w:numId w:val="2"/>
        </w:numPr>
        <w:spacing w:after="40" w:before="40"/>
      </w:pPr>
      <w:r>
        <w:rPr>
          <w:rFonts w:ascii="Arial" w:cs="Arial" w:eastAsia="Arial" w:hAnsi="Arial"/>
          <w:sz w:val="20"/>
          <w:szCs w:val="20"/>
        </w:rPr>
        <w:t xml:space="preserve">Add compliance_critical boolean flag</w:t>
      </w:r>
    </w:p>
    <w:p>
      <w:r>
        <w:br w:type="page"/>
      </w:r>
    </w:p>
    <w:p>
      <w:pPr>
        <w:pStyle w:val="Heading1"/>
      </w:pPr>
      <w:r>
        <w:t xml:space="preserve">7. COFI-Specific Preparations</w:t>
      </w:r>
    </w:p>
    <w:p>
      <w:pPr>
        <w:spacing w:after="200"/>
      </w:pPr>
      <w:r>
        <w:rPr>
          <w:sz w:val="20"/>
          <w:szCs w:val="20"/>
        </w:rPr>
        <w:t xml:space="preserve">The Conduct of Financial Institutions (COFI) Bill represents the most significant regulatory change for South African financial services in over two decades. It consolidates multiple conduct laws under a single framework administered by the FSCA. The following recommendations specifically target COFI readiness.</w:t>
      </w:r>
    </w:p>
    <w:p>
      <w:pPr>
        <w:pStyle w:val="Heading2"/>
      </w:pPr>
      <w:r>
        <w:t xml:space="preserve">7.1 Fair Treatment Lifecycle Tracking</w:t>
      </w:r>
    </w:p>
    <w:p>
      <w:pPr>
        <w:spacing w:after="120"/>
      </w:pPr>
      <w:r>
        <w:rPr>
          <w:sz w:val="20"/>
          <w:szCs w:val="20"/>
        </w:rPr>
        <w:t xml:space="preserve">COFI embeds the TCF framework as binding legal requirements across the entire product lifecycle. The platform should track fair outcomes at every stage: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2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Lifecycle Stage</w:t>
            </w:r>
          </w:p>
        </w:tc>
        <w:tc>
          <w:tcPr>
            <w:tcW w:type="dxa" w:w="3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TCF Requirement</w:t>
            </w:r>
          </w:p>
        </w:tc>
        <w:tc>
          <w:tcPr>
            <w:tcW w:type="dxa" w:w="37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Coverage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Product Design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Suitability confirmation</w:t>
            </w:r>
          </w:p>
        </w:tc>
        <w:tc>
          <w:tcPr>
            <w:tcW w:type="dxa" w:w="3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48235"/>
                <w:sz w:val="20"/>
                <w:szCs w:val="20"/>
              </w:rPr>
              <w:t xml:space="preserve">Covered </w:t>
            </w:r>
            <w:r>
              <w:rPr>
                <w:sz w:val="20"/>
                <w:szCs w:val="20"/>
              </w:rPr>
              <w:t xml:space="preserve">via needs analysis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shd/>
              </w:rPr>
              <w:t xml:space="preserve">Distribution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Advice suitability, disclosure</w:t>
            </w:r>
          </w:p>
        </w:tc>
        <w:tc>
          <w:tcPr>
            <w:tcW w:type="dxa" w:w="3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color w:val="548235"/>
                <w:sz w:val="20"/>
                <w:szCs w:val="20"/>
              </w:rPr>
              <w:t xml:space="preserve">Covered </w:t>
            </w:r>
            <w:r>
              <w:rPr>
                <w:sz w:val="20"/>
                <w:szCs w:val="20"/>
              </w:rPr>
              <w:t xml:space="preserve">via ROA and engagement stages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Servicing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Review cycle adherence, communication</w:t>
            </w:r>
          </w:p>
        </w:tc>
        <w:tc>
          <w:tcPr>
            <w:tcW w:type="dxa" w:w="3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ED7D31"/>
                <w:sz w:val="20"/>
                <w:szCs w:val="20"/>
              </w:rPr>
              <w:t xml:space="preserve">Partial </w:t>
            </w:r>
            <w:r>
              <w:rPr>
                <w:sz w:val="20"/>
                <w:szCs w:val="20"/>
              </w:rPr>
              <w:t xml:space="preserve">- reviews exist, comms logging gap</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shd/>
              </w:rPr>
              <w:t xml:space="preserve">Claims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Fair process, timely updates</w:t>
            </w:r>
          </w:p>
        </w:tc>
        <w:tc>
          <w:tcPr>
            <w:tcW w:type="dxa" w:w="3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color w:val="548235"/>
                <w:sz w:val="20"/>
                <w:szCs w:val="20"/>
              </w:rPr>
              <w:t xml:space="preserve">Covered </w:t>
            </w:r>
            <w:r>
              <w:rPr>
                <w:sz w:val="20"/>
                <w:szCs w:val="20"/>
              </w:rPr>
              <w:t xml:space="preserve">via delay flags and fair process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Complaints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Fair resolution</w:t>
            </w:r>
          </w:p>
        </w:tc>
        <w:tc>
          <w:tcPr>
            <w:tcW w:type="dxa" w:w="3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548235"/>
                <w:sz w:val="20"/>
                <w:szCs w:val="20"/>
              </w:rPr>
              <w:t xml:space="preserve">Covered </w:t>
            </w:r>
            <w:r>
              <w:rPr>
                <w:sz w:val="20"/>
                <w:szCs w:val="20"/>
              </w:rPr>
              <w:t xml:space="preserve">via complaints module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shd/>
              </w:rPr>
              <w:t xml:space="preserve">Exit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No unreasonable barriers</w:t>
            </w:r>
          </w:p>
        </w:tc>
        <w:tc>
          <w:tcPr>
            <w:tcW w:type="dxa" w:w="3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color w:val="C00000"/>
                <w:sz w:val="20"/>
                <w:szCs w:val="20"/>
              </w:rPr>
              <w:t xml:space="preserve">Gap </w:t>
            </w:r>
            <w:r>
              <w:rPr>
                <w:sz w:val="20"/>
                <w:szCs w:val="20"/>
              </w:rPr>
              <w:t xml:space="preserve">- replacement disclosure missing</w:t>
            </w:r>
          </w:p>
        </w:tc>
      </w:tr>
    </w:tbl>
    <w:p>
      <w:pPr>
        <w:spacing w:after="0" w:before="120"/>
      </w:pPr>
      <w:r>
        <w:t xml:space="preserve"/>
      </w:r>
    </w:p>
    <w:p>
      <w:r>
        <w:rPr>
          <w:b/>
          <w:bCs/>
          <w:sz w:val="20"/>
          <w:szCs w:val="20"/>
        </w:rPr>
        <w:t xml:space="preserve">Recommendation: </w:t>
      </w:r>
      <w:r>
        <w:rPr>
          <w:sz w:val="20"/>
          <w:szCs w:val="20"/>
        </w:rPr>
        <w:t xml:space="preserve">Implement a tcf_checkpoints system that auto-flags when fair treatment indicators fall below configurable thresholds (e.g., complaints &gt; X%, reviews overdue &gt; Y days, claims delays &gt; Z days).</w:t>
      </w:r>
    </w:p>
    <w:p>
      <w:pPr>
        <w:spacing w:after="0" w:before="120"/>
      </w:pPr>
      <w:r>
        <w:t xml:space="preserve"/>
      </w:r>
    </w:p>
    <w:p>
      <w:pPr>
        <w:pStyle w:val="Heading2"/>
      </w:pPr>
      <w:r>
        <w:t xml:space="preserve">7.2 Conduct Dashboard</w:t>
      </w:r>
    </w:p>
    <w:p>
      <w:pPr>
        <w:spacing w:after="120"/>
      </w:pPr>
      <w:r>
        <w:rPr>
          <w:sz w:val="20"/>
          <w:szCs w:val="20"/>
        </w:rPr>
        <w:t xml:space="preserve">COFI requires board-level visibility of conduct outcomes. Build a compliance dashboard showing:</w:t>
      </w:r>
    </w:p>
    <w:p>
      <w:pPr>
        <w:pStyle w:val="ListParagraph"/>
        <w:numPr>
          <w:ilvl w:val="0"/>
          <w:numId w:val="2"/>
        </w:numPr>
        <w:spacing w:after="40" w:before="40"/>
      </w:pPr>
      <w:r>
        <w:rPr>
          <w:rFonts w:ascii="Arial" w:cs="Arial" w:eastAsia="Arial" w:hAnsi="Arial"/>
          <w:sz w:val="20"/>
          <w:szCs w:val="20"/>
        </w:rPr>
        <w:t xml:space="preserve">Complaints trend analysis by category and root cause</w:t>
      </w:r>
    </w:p>
    <w:p>
      <w:pPr>
        <w:pStyle w:val="ListParagraph"/>
        <w:numPr>
          <w:ilvl w:val="0"/>
          <w:numId w:val="2"/>
        </w:numPr>
        <w:spacing w:after="40" w:before="40"/>
      </w:pPr>
      <w:r>
        <w:rPr>
          <w:rFonts w:ascii="Arial" w:cs="Arial" w:eastAsia="Arial" w:hAnsi="Arial"/>
          <w:sz w:val="20"/>
          <w:szCs w:val="20"/>
        </w:rPr>
        <w:t xml:space="preserve">Claims handling SLA compliance percentages</w:t>
      </w:r>
    </w:p>
    <w:p>
      <w:pPr>
        <w:pStyle w:val="ListParagraph"/>
        <w:numPr>
          <w:ilvl w:val="0"/>
          <w:numId w:val="2"/>
        </w:numPr>
        <w:spacing w:after="40" w:before="40"/>
      </w:pPr>
      <w:r>
        <w:rPr>
          <w:rFonts w:ascii="Arial" w:cs="Arial" w:eastAsia="Arial" w:hAnsi="Arial"/>
          <w:sz w:val="20"/>
          <w:szCs w:val="20"/>
        </w:rPr>
        <w:t xml:space="preserve">Advice suitability metrics (recommendations accepted vs declined, with reasons)</w:t>
      </w:r>
    </w:p>
    <w:p>
      <w:pPr>
        <w:pStyle w:val="ListParagraph"/>
        <w:numPr>
          <w:ilvl w:val="0"/>
          <w:numId w:val="2"/>
        </w:numPr>
        <w:spacing w:after="40" w:before="40"/>
      </w:pPr>
      <w:r>
        <w:rPr>
          <w:rFonts w:ascii="Arial" w:cs="Arial" w:eastAsia="Arial" w:hAnsi="Arial"/>
          <w:sz w:val="20"/>
          <w:szCs w:val="20"/>
        </w:rPr>
        <w:t xml:space="preserve">Gap analysis coverage (percentage of risks assessed vs implemented)</w:t>
      </w:r>
    </w:p>
    <w:p>
      <w:pPr>
        <w:pStyle w:val="ListParagraph"/>
        <w:numPr>
          <w:ilvl w:val="0"/>
          <w:numId w:val="2"/>
        </w:numPr>
        <w:spacing w:after="40" w:before="40"/>
      </w:pPr>
      <w:r>
        <w:rPr>
          <w:rFonts w:ascii="Arial" w:cs="Arial" w:eastAsia="Arial" w:hAnsi="Arial"/>
          <w:sz w:val="20"/>
          <w:szCs w:val="20"/>
        </w:rPr>
        <w:t xml:space="preserve">FICA verification status across the entire client base</w:t>
      </w:r>
    </w:p>
    <w:p>
      <w:pPr>
        <w:pStyle w:val="ListParagraph"/>
        <w:numPr>
          <w:ilvl w:val="0"/>
          <w:numId w:val="2"/>
        </w:numPr>
        <w:spacing w:after="40" w:before="40"/>
      </w:pPr>
      <w:r>
        <w:rPr>
          <w:rFonts w:ascii="Arial" w:cs="Arial" w:eastAsia="Arial" w:hAnsi="Arial"/>
          <w:sz w:val="20"/>
          <w:szCs w:val="20"/>
        </w:rPr>
        <w:t xml:space="preserve">Overdue reviews count and aging analysis</w:t>
      </w:r>
    </w:p>
    <w:p>
      <w:pPr>
        <w:pStyle w:val="ListParagraph"/>
        <w:numPr>
          <w:ilvl w:val="0"/>
          <w:numId w:val="2"/>
        </w:numPr>
        <w:spacing w:after="40" w:before="40"/>
      </w:pPr>
      <w:r>
        <w:rPr>
          <w:rFonts w:ascii="Arial" w:cs="Arial" w:eastAsia="Arial" w:hAnsi="Arial"/>
          <w:sz w:val="20"/>
          <w:szCs w:val="20"/>
        </w:rPr>
        <w:t xml:space="preserve">Conduct concern flags by broker (pattern detection)</w:t>
      </w:r>
    </w:p>
    <w:p>
      <w:pPr>
        <w:pStyle w:val="ListParagraph"/>
        <w:numPr>
          <w:ilvl w:val="0"/>
          <w:numId w:val="2"/>
        </w:numPr>
        <w:spacing w:after="40" w:before="40"/>
      </w:pPr>
      <w:r>
        <w:rPr>
          <w:rFonts w:ascii="Arial" w:cs="Arial" w:eastAsia="Arial" w:hAnsi="Arial"/>
          <w:sz w:val="20"/>
          <w:szCs w:val="20"/>
        </w:rPr>
        <w:t xml:space="preserve">TCF outcome scores with period-over-period trends</w:t>
      </w:r>
    </w:p>
    <w:p>
      <w:r>
        <w:br w:type="page"/>
      </w:r>
    </w:p>
    <w:p>
      <w:pPr>
        <w:pStyle w:val="Heading1"/>
      </w:pPr>
      <w:r>
        <w:t xml:space="preserve">8. Record-Keeping Requirements Reference</w:t>
      </w:r>
    </w:p>
    <w:p>
      <w:pPr>
        <w:spacing w:after="200"/>
      </w:pPr>
      <w:r>
        <w:rPr>
          <w:sz w:val="20"/>
          <w:szCs w:val="20"/>
        </w:rPr>
        <w:t xml:space="preserve">The following table summarises the minimum retention periods applicable to short-term insurance brokers. The platform should enforce these through automated retention tracking.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920"/>
      </w:tblGrid>
      <w:tr>
        <w:tc>
          <w:tcPr>
            <w:tcW w:type="dxa" w:w="3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Record Type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Retention</w:t>
            </w:r>
          </w:p>
        </w:tc>
        <w:tc>
          <w:tcPr>
            <w:tcW w:type="dxa" w:w="39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Legislation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Records of advice given to clients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years</w:t>
            </w:r>
          </w:p>
        </w:tc>
        <w:tc>
          <w:tcPr>
            <w:tcW w:type="dxa" w:w="39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FAIS Act s18</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Needs analysis and suitability records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5 years</w:t>
            </w:r>
          </w:p>
        </w:tc>
        <w:tc>
          <w:tcPr>
            <w:tcW w:type="dxa" w:w="39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FAIS General Code s8-9</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Complaints register and resolution records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years</w:t>
            </w:r>
          </w:p>
        </w:tc>
        <w:tc>
          <w:tcPr>
            <w:tcW w:type="dxa" w:w="39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FAIS General Code s14</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Compliance records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5 years</w:t>
            </w:r>
          </w:p>
        </w:tc>
        <w:tc>
          <w:tcPr>
            <w:tcW w:type="dxa" w:w="39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FAIS Act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Accounting records and financial statements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years</w:t>
            </w:r>
          </w:p>
        </w:tc>
        <w:tc>
          <w:tcPr>
            <w:tcW w:type="dxa" w:w="39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FAIS Act; Companies Act</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Client CDD/KYC records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5 years after relationship ends</w:t>
            </w:r>
          </w:p>
        </w:tc>
        <w:tc>
          <w:tcPr>
            <w:tcW w:type="dxa" w:w="39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FICA s23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Transaction records (FICA)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years after relationship ends</w:t>
            </w:r>
          </w:p>
        </w:tc>
        <w:tc>
          <w:tcPr>
            <w:tcW w:type="dxa" w:w="39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FICA s23</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STR/CTR reports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5 years</w:t>
            </w:r>
          </w:p>
        </w:tc>
        <w:tc>
          <w:tcPr>
            <w:tcW w:type="dxa" w:w="39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FICA</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Policy documentation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years after termination</w:t>
            </w:r>
          </w:p>
        </w:tc>
        <w:tc>
          <w:tcPr>
            <w:tcW w:type="dxa" w:w="39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Short-Term Insurance Act</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Binder agreement records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5 years after termination</w:t>
            </w:r>
          </w:p>
        </w:tc>
        <w:tc>
          <w:tcPr>
            <w:tcW w:type="dxa" w:w="39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Short-Term Insurance Act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Verbal communication recordings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years</w:t>
            </w:r>
          </w:p>
        </w:tc>
        <w:tc>
          <w:tcPr>
            <w:tcW w:type="dxa" w:w="39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FAIS General Code</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Written communications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5 years</w:t>
            </w:r>
          </w:p>
        </w:tc>
        <w:tc>
          <w:tcPr>
            <w:tcW w:type="dxa" w:w="39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FAIS General Code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CPD records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Duration of cycle + audit</w:t>
            </w:r>
          </w:p>
        </w:tc>
        <w:tc>
          <w:tcPr>
            <w:tcW w:type="dxa" w:w="39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FAIS Fit and Proper</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POPIA-related records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Purpose duration + legal</w:t>
            </w:r>
          </w:p>
        </w:tc>
        <w:tc>
          <w:tcPr>
            <w:tcW w:type="dxa" w:w="39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POPIA</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Tax records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years from submission</w:t>
            </w:r>
          </w:p>
        </w:tc>
        <w:tc>
          <w:tcPr>
            <w:tcW w:type="dxa" w:w="39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Tax Administration Act</w:t>
            </w:r>
          </w:p>
        </w:tc>
      </w:tr>
    </w:tbl>
    <w:p>
      <w:r>
        <w:br w:type="page"/>
      </w:r>
    </w:p>
    <w:p>
      <w:pPr>
        <w:pStyle w:val="Heading1"/>
      </w:pPr>
      <w:r>
        <w:t xml:space="preserve">9. Priority Implementation Roadmap</w:t>
      </w:r>
    </w:p>
    <w:p>
      <w:pPr>
        <w:spacing w:after="200"/>
      </w:pPr>
      <w:r>
        <w:rPr>
          <w:sz w:val="20"/>
          <w:szCs w:val="20"/>
        </w:rPr>
        <w:t xml:space="preserve">The following table ranks all identified gaps by priority, considering both current regulatory risk and COFI readiness. Implementation effort is estimated relative to each other.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1200"/>
        <w:gridCol w:w="352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Gap Item</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35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Regulatory Risk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Commission/Fee Disclosure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352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C00000"/>
                <w:sz w:val="20"/>
                <w:szCs w:val="20"/>
              </w:rPr>
              <w:t xml:space="preserve">Immediate non-compliance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FSP Licence &amp; Mandatory Disclosures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Low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352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C00000"/>
                <w:sz w:val="20"/>
                <w:szCs w:val="20"/>
              </w:rPr>
              <w:t xml:space="preserve">Immediate non-compliance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Conflict of Interest Register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352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C00000"/>
                <w:sz w:val="20"/>
                <w:szCs w:val="20"/>
              </w:rPr>
              <w:t xml:space="preserve">Immediate non-compliance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FICA CDD Substance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352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C00000"/>
                <w:sz w:val="20"/>
                <w:szCs w:val="20"/>
              </w:rPr>
              <w:t xml:space="preserve">FICA non-compliance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POPIA Rights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352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b/>
                <w:bCs/>
                <w:color w:val="C00000"/>
                <w:sz w:val="20"/>
                <w:szCs w:val="20"/>
              </w:rPr>
              <w:t xml:space="preserve">POPIA penalties (up to R10m)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Replacement Policy Disclosure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Low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352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D7D31"/>
                <w:sz w:val="20"/>
                <w:szCs w:val="20"/>
              </w:rPr>
              <w:t xml:space="preserve">FAIS non-compliance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CPD &amp; Fit and Proper Tracking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D7D31"/>
                <w:sz w:val="20"/>
                <w:szCs w:val="20"/>
              </w:rPr>
              <w:t xml:space="preserve">High</w:t>
            </w:r>
          </w:p>
        </w:tc>
        <w:tc>
          <w:tcPr>
            <w:tcW w:type="dxa" w:w="352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D7D31"/>
                <w:sz w:val="20"/>
                <w:szCs w:val="20"/>
              </w:rPr>
              <w:t xml:space="preserve">Licence risk</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8</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Communication Logging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ED7D31"/>
                <w:sz w:val="20"/>
                <w:szCs w:val="20"/>
              </w:rPr>
              <w:t xml:space="preserve">High</w:t>
            </w:r>
          </w:p>
        </w:tc>
        <w:tc>
          <w:tcPr>
            <w:tcW w:type="dxa" w:w="352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D7D31"/>
                <w:sz w:val="20"/>
                <w:szCs w:val="20"/>
              </w:rPr>
              <w:t xml:space="preserve">Record-keeping gap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Governance/TCF Dashboard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D7D31"/>
                <w:sz w:val="20"/>
                <w:szCs w:val="20"/>
              </w:rPr>
              <w:t xml:space="preserve">High</w:t>
            </w:r>
          </w:p>
        </w:tc>
        <w:tc>
          <w:tcPr>
            <w:tcW w:type="dxa" w:w="35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548235"/>
                <w:sz w:val="20"/>
                <w:szCs w:val="20"/>
              </w:rPr>
              <w:t xml:space="preserve">COFI readiness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10</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Product Supplier Due Diligence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Low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ED7D31"/>
                <w:sz w:val="20"/>
                <w:szCs w:val="20"/>
              </w:rPr>
              <w:t xml:space="preserve">High</w:t>
            </w:r>
          </w:p>
        </w:tc>
        <w:tc>
          <w:tcPr>
            <w:tcW w:type="dxa" w:w="3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404040"/>
                <w:sz w:val="20"/>
                <w:szCs w:val="20"/>
              </w:rPr>
              <w:t xml:space="preserve">FAIS s3A compliance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Activity-Based Licensing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D7D31"/>
                <w:sz w:val="20"/>
                <w:szCs w:val="20"/>
              </w:rPr>
              <w:t xml:space="preserve">High</w:t>
            </w:r>
          </w:p>
        </w:tc>
        <w:tc>
          <w:tcPr>
            <w:tcW w:type="dxa" w:w="35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548235"/>
                <w:sz w:val="20"/>
                <w:szCs w:val="20"/>
              </w:rPr>
              <w:t xml:space="preserve">COFI readiness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12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Data Retention Management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shd/>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548235"/>
                <w:sz w:val="20"/>
                <w:szCs w:val="20"/>
              </w:rPr>
              <w:t xml:space="preserve">Medium</w:t>
            </w:r>
          </w:p>
        </w:tc>
        <w:tc>
          <w:tcPr>
            <w:tcW w:type="dxa" w:w="35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548235"/>
                <w:sz w:val="20"/>
                <w:szCs w:val="20"/>
              </w:rPr>
              <w:t xml:space="preserve">POPIA/FAIS alignment</w:t>
            </w:r>
          </w:p>
        </w:tc>
      </w:tr>
    </w:tbl>
    <w:p>
      <w:r>
        <w:br w:type="page"/>
      </w:r>
    </w:p>
    <w:p>
      <w:pPr>
        <w:pStyle w:val="Heading1"/>
      </w:pPr>
      <w:r>
        <w:t xml:space="preserve">10. Conclusion</w:t>
      </w:r>
    </w:p>
    <w:p>
      <w:pPr>
        <w:spacing w:after="160"/>
      </w:pPr>
      <w:r>
        <w:rPr>
          <w:sz w:val="20"/>
          <w:szCs w:val="20"/>
        </w:rPr>
        <w:t xml:space="preserve">The Inexpro CRM platform is substantially ahead of most broker management systems in its approach to compliance. The key differentiator is the architectural decision to embed regulatory requirements into data structures and workflow enforcement rather than treating compliance as a reporting afterthought.</w:t>
      </w:r>
    </w:p>
    <w:p>
      <w:pPr>
        <w:spacing w:after="80"/>
      </w:pPr>
      <w:r>
        <w:rPr>
          <w:b/>
          <w:bCs/>
          <w:color w:val="548235"/>
          <w:sz w:val="20"/>
          <w:szCs w:val="20"/>
        </w:rPr>
        <w:t xml:space="preserve">Strengths to build on:</w:t>
      </w:r>
    </w:p>
    <w:p>
      <w:pPr>
        <w:pStyle w:val="ListParagraph"/>
        <w:numPr>
          <w:ilvl w:val="0"/>
          <w:numId w:val="2"/>
        </w:numPr>
        <w:spacing w:after="40" w:before="40"/>
      </w:pPr>
      <w:r>
        <w:rPr>
          <w:rFonts w:ascii="Arial" w:cs="Arial" w:eastAsia="Arial" w:hAnsi="Arial"/>
          <w:sz w:val="20"/>
          <w:szCs w:val="20"/>
        </w:rPr>
        <w:t xml:space="preserve">The advisory pipeline with stage gates is a genuine compliance differentiator</w:t>
      </w:r>
    </w:p>
    <w:p>
      <w:pPr>
        <w:pStyle w:val="ListParagraph"/>
        <w:numPr>
          <w:ilvl w:val="0"/>
          <w:numId w:val="2"/>
        </w:numPr>
        <w:spacing w:after="40" w:before="40"/>
      </w:pPr>
      <w:r>
        <w:rPr>
          <w:rFonts w:ascii="Arial" w:cs="Arial" w:eastAsia="Arial" w:hAnsi="Arial"/>
          <w:sz w:val="20"/>
          <w:szCs w:val="20"/>
        </w:rPr>
        <w:t xml:space="preserve">The Record of Advice implementation captures all FAIS s9 requirements</w:t>
      </w:r>
    </w:p>
    <w:p>
      <w:pPr>
        <w:pStyle w:val="ListParagraph"/>
        <w:numPr>
          <w:ilvl w:val="0"/>
          <w:numId w:val="2"/>
        </w:numPr>
        <w:spacing w:after="40" w:before="40"/>
      </w:pPr>
      <w:r>
        <w:rPr>
          <w:rFonts w:ascii="Arial" w:cs="Arial" w:eastAsia="Arial" w:hAnsi="Arial"/>
          <w:sz w:val="20"/>
          <w:szCs w:val="20"/>
        </w:rPr>
        <w:t xml:space="preserve">Gap analysis at the policy-section level with automatic identification is industry-leading for broker systems</w:t>
      </w:r>
    </w:p>
    <w:p>
      <w:pPr>
        <w:pStyle w:val="ListParagraph"/>
        <w:numPr>
          <w:ilvl w:val="0"/>
          <w:numId w:val="2"/>
        </w:numPr>
        <w:spacing w:after="40" w:before="40"/>
      </w:pPr>
      <w:r>
        <w:rPr>
          <w:rFonts w:ascii="Arial" w:cs="Arial" w:eastAsia="Arial" w:hAnsi="Arial"/>
          <w:sz w:val="20"/>
          <w:szCs w:val="20"/>
        </w:rPr>
        <w:t xml:space="preserve">The audit trail provides the evidence base needed for regulatory examinations</w:t>
      </w:r>
    </w:p>
    <w:p>
      <w:pPr>
        <w:pStyle w:val="ListParagraph"/>
        <w:numPr>
          <w:ilvl w:val="0"/>
          <w:numId w:val="2"/>
        </w:numPr>
        <w:spacing w:after="40" w:before="40"/>
      </w:pPr>
      <w:r>
        <w:rPr>
          <w:rFonts w:ascii="Arial" w:cs="Arial" w:eastAsia="Arial" w:hAnsi="Arial"/>
          <w:sz w:val="20"/>
          <w:szCs w:val="20"/>
        </w:rPr>
        <w:t xml:space="preserve">Complaints and claims handling include fair treatment tracking aligned with TCF</w:t>
      </w:r>
    </w:p>
    <w:p>
      <w:pPr>
        <w:spacing w:after="0" w:before="120"/>
      </w:pPr>
      <w:r>
        <w:t xml:space="preserve"/>
      </w:r>
    </w:p>
    <w:p>
      <w:pPr>
        <w:spacing w:after="80"/>
      </w:pPr>
      <w:r>
        <w:rPr>
          <w:b/>
          <w:bCs/>
          <w:color w:val="C00000"/>
          <w:sz w:val="20"/>
          <w:szCs w:val="20"/>
        </w:rPr>
        <w:t xml:space="preserve">Critical next steps:</w:t>
      </w:r>
    </w:p>
    <w:p>
      <w:pPr>
        <w:pStyle w:val="ListParagraph"/>
        <w:numPr>
          <w:ilvl w:val="0"/>
          <w:numId w:val="2"/>
        </w:numPr>
        <w:spacing w:after="40" w:before="40"/>
      </w:pPr>
      <w:r>
        <w:rPr>
          <w:rFonts w:ascii="Arial" w:cs="Arial" w:eastAsia="Arial" w:hAnsi="Arial"/>
          <w:sz w:val="20"/>
          <w:szCs w:val="20"/>
        </w:rPr>
        <w:t xml:space="preserve">Address the 6 critical gaps (commission disclosure, FSP details, conflict register, FICA substance, POPIA rights, replacement disclosure) as an immediate priority</w:t>
      </w:r>
    </w:p>
    <w:p>
      <w:pPr>
        <w:pStyle w:val="ListParagraph"/>
        <w:numPr>
          <w:ilvl w:val="0"/>
          <w:numId w:val="2"/>
        </w:numPr>
        <w:spacing w:after="40" w:before="40"/>
      </w:pPr>
      <w:r>
        <w:rPr>
          <w:rFonts w:ascii="Arial" w:cs="Arial" w:eastAsia="Arial" w:hAnsi="Arial"/>
          <w:sz w:val="20"/>
          <w:szCs w:val="20"/>
        </w:rPr>
        <w:t xml:space="preserve">Build the governance and conduct dashboard to prepare for COFI board-level accountability requirements</w:t>
      </w:r>
    </w:p>
    <w:p>
      <w:pPr>
        <w:pStyle w:val="ListParagraph"/>
        <w:numPr>
          <w:ilvl w:val="0"/>
          <w:numId w:val="2"/>
        </w:numPr>
        <w:spacing w:after="40" w:before="40"/>
      </w:pPr>
      <w:r>
        <w:rPr>
          <w:rFonts w:ascii="Arial" w:cs="Arial" w:eastAsia="Arial" w:hAnsi="Arial"/>
          <w:sz w:val="20"/>
          <w:szCs w:val="20"/>
        </w:rPr>
        <w:t xml:space="preserve">Implement CPD and Fit and Proper tracking to protect broker licence status</w:t>
      </w:r>
    </w:p>
    <w:p>
      <w:pPr>
        <w:pStyle w:val="ListParagraph"/>
        <w:numPr>
          <w:ilvl w:val="0"/>
          <w:numId w:val="2"/>
        </w:numPr>
        <w:spacing w:after="40" w:before="40"/>
      </w:pPr>
      <w:r>
        <w:rPr>
          <w:rFonts w:ascii="Arial" w:cs="Arial" w:eastAsia="Arial" w:hAnsi="Arial"/>
          <w:sz w:val="20"/>
          <w:szCs w:val="20"/>
        </w:rPr>
        <w:t xml:space="preserve">Add communication logging to satisfy the FAIS record-keeping requirements for all client interactions</w:t>
      </w:r>
    </w:p>
    <w:p>
      <w:pPr>
        <w:spacing w:after="0" w:before="120"/>
      </w:pPr>
      <w:r>
        <w:t xml:space="preserve"/>
      </w:r>
    </w:p>
    <w:p>
      <w:pPr>
        <w:spacing w:after="200"/>
      </w:pPr>
      <w:r>
        <w:rPr>
          <w:sz w:val="20"/>
          <w:szCs w:val="20"/>
        </w:rPr>
        <w:t xml:space="preserve">With these enhancements, the Inexpro CRM will be positioned as a fully compliant, COFI-ready platform that not only satisfies current regulatory requirements but is architecturally prepared for the most significant regulatory transition in South African financial services history.</w:t>
      </w:r>
    </w:p>
    <w:p>
      <w:pPr>
        <w:pBdr>
          <w:bottom w:val="single" w:color="2E75B6" w:sz="6" w:space="1"/>
        </w:pBdr>
        <w:spacing w:after="200"/>
      </w:pPr>
      <w:r>
        <w:t xml:space="preserve"/>
      </w:r>
    </w:p>
    <w:p>
      <w:pPr>
        <w:spacing w:after="0" w:before="120"/>
      </w:pPr>
      <w:r>
        <w:t xml:space="preserve"/>
      </w:r>
    </w:p>
    <w:p>
      <w:pPr>
        <w:jc w:val="center"/>
      </w:pPr>
      <w:r>
        <w:rPr>
          <w:i/>
          <w:iCs/>
          <w:color w:val="404040"/>
          <w:sz w:val="20"/>
          <w:szCs w:val="20"/>
        </w:rPr>
        <w:t xml:space="preserve">End of Report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404040"/>
        <w:sz w:val="16"/>
        <w:szCs w:val="16"/>
      </w:rPr>
      <w:t xml:space="preserve">Confidential  |  Page </w:t>
    </w:r>
    <w:r>
      <w:rPr>
        <w:color w:val="40404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2E75B6"/>
        <w:sz w:val="16"/>
        <w:szCs w:val="16"/>
      </w:rPr>
      <w:t xml:space="preserve">Inexpro CRM Compliance Evaluation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2026-04-12T09:57:44.935Z</dcterms:created>
  <dcterms:modified xsi:type="dcterms:W3CDTF">2026-04-12T09:57:44.935Z</dcterms:modified>
</cp:coreProperties>
</file>

<file path=docProps/custom.xml><?xml version="1.0" encoding="utf-8"?>
<Properties xmlns="http://schemas.openxmlformats.org/officeDocument/2006/custom-properties" xmlns:vt="http://schemas.openxmlformats.org/officeDocument/2006/docPropsVTypes"/>
</file>