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Georgia" w:cs="Georgia" w:eastAsia="Georgia" w:hAnsi="Georgia"/>
          <w:caps/>
          <w:color w:val="888888"/>
          <w:sz w:val="18"/>
          <w:szCs w:val="18"/>
        </w:rPr>
        <w:t xml:space="preserve">MONO-PROCESS FRAMEWORK</w:t>
      </w:r>
    </w:p>
    <w:p>
      <w:pPr>
        <w:spacing w:after="120" w:before="0"/>
      </w:pPr>
      <w:r>
        <w:rPr>
          <w:rFonts w:ascii="Georgia" w:cs="Georgia" w:eastAsia="Georgia" w:hAnsi="Georgia"/>
          <w:i/>
          <w:iCs/>
          <w:color w:val="888888"/>
          <w:sz w:val="18"/>
          <w:szCs w:val="18"/>
        </w:rPr>
        <w:t xml:space="preserve">Technical Note — Theoretical Refinement</w:t>
      </w:r>
    </w:p>
    <w:p>
      <w:pPr>
        <w:spacing w:after="240" w:before="0"/>
      </w:pPr>
      <w:r>
        <w:rPr>
          <w:rFonts w:ascii="Georgia" w:cs="Georgia" w:eastAsia="Georgia" w:hAnsi="Georgia"/>
          <w:b/>
          <w:bCs/>
          <w:color w:val="1A1A2E"/>
          <w:sz w:val="36"/>
          <w:szCs w:val="36"/>
        </w:rPr>
        <w:t xml:space="preserve">Gravity_app as Budget-Constrained Arbitration Pressure:</w:t>
      </w:r>
    </w:p>
    <w:p>
      <w:pPr>
        <w:spacing w:after="360" w:before="0"/>
      </w:pPr>
      <w:r>
        <w:rPr>
          <w:rFonts w:ascii="Georgia" w:cs="Georgia" w:eastAsia="Georgia" w:hAnsi="Georgia"/>
          <w:i/>
          <w:iCs/>
          <w:color w:val="3A3A6E"/>
          <w:sz w:val="28"/>
          <w:szCs w:val="28"/>
        </w:rPr>
        <w:t xml:space="preserve">A Codex-Grounded Refinement of Procedural Gravity</w:t>
      </w:r>
    </w:p>
    <w:p>
      <w:pPr>
        <w:pBdr>
          <w:bottom w:val="single" w:color="3A3A6E" w:sz="4" w:space="1"/>
        </w:pBdr>
        <w:spacing w:after="160"/>
      </w:pP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DDDF0" w:val="clear"/>
            <w:tcMar>
              <w:top w:type="dxa" w:w="60"/>
              <w:left w:type="dxa" w:w="120"/>
              <w:bottom w:type="dxa" w:w="60"/>
              <w:right w:type="dxa" w:w="120"/>
            </w:tcMar>
          </w:tcPr>
          <w:p>
            <w:r>
              <w:rPr>
                <w:rFonts w:ascii="Georgia" w:cs="Georgia" w:eastAsia="Georgia" w:hAnsi="Georgia"/>
                <w:b/>
                <w:bCs/>
                <w:sz w:val="20"/>
                <w:szCs w:val="20"/>
              </w:rPr>
              <w:t xml:space="preserve">Document Type</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sz w:val="20"/>
                <w:szCs w:val="20"/>
              </w:rPr>
              <w:t xml:space="preserve">Technical Note — Theoretical Refinement</w:t>
            </w:r>
          </w:p>
        </w:tc>
      </w:tr>
      <w:tr>
        <w:tc>
          <w:tcPr>
            <w:tcW w:type="dxa" w:w="2700"/>
            <w:tcBorders>
              <w:top w:val="single" w:color="CCCCCC" w:sz="1"/>
              <w:left w:val="single" w:color="CCCCCC" w:sz="1"/>
              <w:bottom w:val="single" w:color="CCCCCC" w:sz="1"/>
              <w:right w:val="single" w:color="CCCCCC" w:sz="1"/>
            </w:tcBorders>
            <w:shd w:fill="DDDDF0" w:val="clear"/>
            <w:tcMar>
              <w:top w:type="dxa" w:w="60"/>
              <w:left w:type="dxa" w:w="120"/>
              <w:bottom w:type="dxa" w:w="60"/>
              <w:right w:type="dxa" w:w="120"/>
            </w:tcMar>
          </w:tcPr>
          <w:p>
            <w:r>
              <w:rPr>
                <w:rFonts w:ascii="Georgia" w:cs="Georgia" w:eastAsia="Georgia" w:hAnsi="Georgia"/>
                <w:b/>
                <w:bCs/>
                <w:sz w:val="20"/>
                <w:szCs w:val="20"/>
              </w:rPr>
              <w:t xml:space="preserve">Status</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sz w:val="20"/>
                <w:szCs w:val="20"/>
              </w:rPr>
              <w:t xml:space="preserve">Provisional</w:t>
            </w:r>
          </w:p>
        </w:tc>
      </w:tr>
      <w:tr>
        <w:tc>
          <w:tcPr>
            <w:tcW w:type="dxa" w:w="2700"/>
            <w:tcBorders>
              <w:top w:val="single" w:color="CCCCCC" w:sz="1"/>
              <w:left w:val="single" w:color="CCCCCC" w:sz="1"/>
              <w:bottom w:val="single" w:color="CCCCCC" w:sz="1"/>
              <w:right w:val="single" w:color="CCCCCC" w:sz="1"/>
            </w:tcBorders>
            <w:shd w:fill="DDDDF0" w:val="clear"/>
            <w:tcMar>
              <w:top w:type="dxa" w:w="60"/>
              <w:left w:type="dxa" w:w="120"/>
              <w:bottom w:type="dxa" w:w="60"/>
              <w:right w:type="dxa" w:w="120"/>
            </w:tcMar>
          </w:tcPr>
          <w:p>
            <w:r>
              <w:rPr>
                <w:rFonts w:ascii="Georgia" w:cs="Georgia" w:eastAsia="Georgia" w:hAnsi="Georgia"/>
                <w:b/>
                <w:bCs/>
                <w:sz w:val="20"/>
                <w:szCs w:val="20"/>
              </w:rPr>
              <w:t xml:space="preserve">Classification</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sz w:val="20"/>
                <w:szCs w:val="20"/>
              </w:rPr>
              <w:t xml:space="preserve">NON_PHYSICAL_ANALOG_MODEL</w:t>
            </w:r>
          </w:p>
        </w:tc>
      </w:tr>
      <w:tr>
        <w:tc>
          <w:tcPr>
            <w:tcW w:type="dxa" w:w="2700"/>
            <w:tcBorders>
              <w:top w:val="single" w:color="CCCCCC" w:sz="1"/>
              <w:left w:val="single" w:color="CCCCCC" w:sz="1"/>
              <w:bottom w:val="single" w:color="CCCCCC" w:sz="1"/>
              <w:right w:val="single" w:color="CCCCCC" w:sz="1"/>
            </w:tcBorders>
            <w:shd w:fill="DDDDF0" w:val="clear"/>
            <w:tcMar>
              <w:top w:type="dxa" w:w="60"/>
              <w:left w:type="dxa" w:w="120"/>
              <w:bottom w:type="dxa" w:w="60"/>
              <w:right w:type="dxa" w:w="120"/>
            </w:tcMar>
          </w:tcPr>
          <w:p>
            <w:r>
              <w:rPr>
                <w:rFonts w:ascii="Georgia" w:cs="Georgia" w:eastAsia="Georgia" w:hAnsi="Georgia"/>
                <w:b/>
                <w:bCs/>
                <w:sz w:val="20"/>
                <w:szCs w:val="20"/>
              </w:rPr>
              <w:t xml:space="preserve">Supersedes</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sz w:val="20"/>
                <w:szCs w:val="20"/>
              </w:rPr>
              <w:t xml:space="preserve">TN: Procedural Gravity as Emergent Geometry (prior version)</w:t>
            </w:r>
          </w:p>
        </w:tc>
      </w:tr>
      <w:tr>
        <w:tc>
          <w:tcPr>
            <w:tcW w:type="dxa" w:w="2700"/>
            <w:tcBorders>
              <w:top w:val="single" w:color="CCCCCC" w:sz="1"/>
              <w:left w:val="single" w:color="CCCCCC" w:sz="1"/>
              <w:bottom w:val="single" w:color="CCCCCC" w:sz="1"/>
              <w:right w:val="single" w:color="CCCCCC" w:sz="1"/>
            </w:tcBorders>
            <w:shd w:fill="DDDDF0" w:val="clear"/>
            <w:tcMar>
              <w:top w:type="dxa" w:w="60"/>
              <w:left w:type="dxa" w:w="120"/>
              <w:bottom w:type="dxa" w:w="60"/>
              <w:right w:type="dxa" w:w="120"/>
            </w:tcMar>
          </w:tcPr>
          <w:p>
            <w:r>
              <w:rPr>
                <w:rFonts w:ascii="Georgia" w:cs="Georgia" w:eastAsia="Georgia" w:hAnsi="Georgia"/>
                <w:b/>
                <w:bCs/>
                <w:sz w:val="20"/>
                <w:szCs w:val="20"/>
              </w:rPr>
              <w:t xml:space="preserve">Codex Grounding</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sz w:val="20"/>
                <w:szCs w:val="20"/>
              </w:rPr>
              <w:t xml:space="preserve">LAW-021, LAW-024, LAW-029, LAW-030, LAW-031</w:t>
            </w:r>
          </w:p>
        </w:tc>
      </w:tr>
      <w:tr>
        <w:tc>
          <w:tcPr>
            <w:tcW w:type="dxa" w:w="2700"/>
            <w:tcBorders>
              <w:top w:val="single" w:color="CCCCCC" w:sz="1"/>
              <w:left w:val="single" w:color="CCCCCC" w:sz="1"/>
              <w:bottom w:val="single" w:color="CCCCCC" w:sz="1"/>
              <w:right w:val="single" w:color="CCCCCC" w:sz="1"/>
            </w:tcBorders>
            <w:shd w:fill="DDDDF0" w:val="clear"/>
            <w:tcMar>
              <w:top w:type="dxa" w:w="60"/>
              <w:left w:type="dxa" w:w="120"/>
              <w:bottom w:type="dxa" w:w="60"/>
              <w:right w:type="dxa" w:w="120"/>
            </w:tcMar>
          </w:tcPr>
          <w:p>
            <w:r>
              <w:rPr>
                <w:rFonts w:ascii="Georgia" w:cs="Georgia" w:eastAsia="Georgia" w:hAnsi="Georgia"/>
                <w:b/>
                <w:bCs/>
                <w:sz w:val="20"/>
                <w:szCs w:val="20"/>
              </w:rPr>
              <w:t xml:space="preserve">Charter</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sz w:val="20"/>
                <w:szCs w:val="20"/>
              </w:rPr>
              <w:t xml:space="preserve">v2.3 — Claim Classification: Theoretical</w:t>
            </w:r>
          </w:p>
        </w:tc>
      </w:tr>
    </w:tbl>
    <w:p>
      <w:pPr>
        <w:spacing w:after="60" w:before="60"/>
      </w:pPr>
      <w:r>
        <w:t xml:space="preserve"/>
      </w:r>
    </w:p>
    <w:p>
      <w:pPr>
        <w:spacing w:after="60" w:before="60"/>
      </w:pPr>
      <w:r>
        <w:t xml:space="preserve"/>
      </w:r>
    </w:p>
    <w:p>
      <w:pPr>
        <w:pStyle w:val="Heading1"/>
      </w:pPr>
      <w:r>
        <w:rPr>
          <w:rFonts w:ascii="Georgia" w:cs="Georgia" w:eastAsia="Georgia" w:hAnsi="Georgia"/>
          <w:b/>
          <w:bCs/>
          <w:color w:val="1A1A2E"/>
          <w:sz w:val="32"/>
          <w:szCs w:val="32"/>
        </w:rPr>
        <w:t xml:space="preserve">1. Motivation and Scope of Refinement</w:t>
      </w:r>
    </w:p>
    <w:p>
      <w:pPr>
        <w:pBdr>
          <w:bottom w:val="single" w:color="3A3A6E" w:sz="4" w:space="1"/>
        </w:pBdr>
        <w:spacing w:after="160"/>
      </w:pPr>
    </w:p>
    <w:p>
      <w:pPr>
        <w:spacing w:after="160" w:before="80"/>
      </w:pPr>
      <w:r>
        <w:rPr>
          <w:rFonts w:ascii="Georgia" w:cs="Georgia" w:eastAsia="Georgia" w:hAnsi="Georgia"/>
          <w:sz w:val="22"/>
          <w:szCs w:val="22"/>
        </w:rPr>
        <w:t xml:space="preserve">The prior technical note on procedural gravity established gravity_app as an emergent projection of recursive continuation dynamics operating within a continuous deformable substrate. That framing correctly identified the phenomenon as downstream of substrate organization — not primitive interaction — and proposed realized mismatch ΔR as the central operative quantity.</w:t>
      </w:r>
    </w:p>
    <w:p>
      <w:pPr>
        <w:spacing w:after="160" w:before="80"/>
      </w:pPr>
      <w:r>
        <w:rPr>
          <w:rFonts w:ascii="Georgia" w:cs="Georgia" w:eastAsia="Georgia" w:hAnsi="Georgia"/>
          <w:sz w:val="22"/>
          <w:szCs w:val="22"/>
        </w:rPr>
        <w:t xml:space="preserve">This refinement does not replace that framing. It grounds it more precisely within the Codex operator vocabulary, identifying the specific mechanism by which recursive continuation produces the observable signature of gravitational influence.</w:t>
      </w:r>
    </w:p>
    <w:p>
      <w:pPr>
        <w:spacing w:after="160" w:before="80"/>
      </w:pPr>
      <w:r>
        <w:rPr>
          <w:rFonts w:ascii="Georgia" w:cs="Georgia" w:eastAsia="Georgia" w:hAnsi="Georgia"/>
          <w:sz w:val="22"/>
          <w:szCs w:val="22"/>
        </w:rPr>
        <w:t xml:space="preserve">The central argument is this: gravity_app is not best described as a deformation of geometry produced by mismatch pressure alone. It is more precisely the downward constraint propagation signature of a stabilized basin family — expressed as a continuous admissibility gradient across the orientation array — which narrows the arbitration freedom of neighboring loci such that their continuation candidates are preferentially pruned toward paths the basin already reinforces.</w:t>
      </w:r>
    </w:p>
    <w:p>
      <w:pPr>
        <w:spacing w:after="160" w:before="80"/>
      </w:pPr>
      <w:r>
        <w:rPr>
          <w:rFonts w:ascii="Georgia" w:cs="Georgia" w:eastAsia="Georgia" w:hAnsi="Georgia"/>
          <w:sz w:val="22"/>
          <w:szCs w:val="22"/>
        </w:rPr>
        <w:t xml:space="preserve">This is a more mechanically specific claim and one that makes the explanation of gravitational weakness structurally unavoidable rather than merely plausible.</w:t>
      </w:r>
    </w:p>
    <w:p>
      <w:pPr>
        <w:spacing w:after="60" w:before="60"/>
      </w:pPr>
      <w:r>
        <w:t xml:space="preserve"/>
      </w:r>
    </w:p>
    <w:p>
      <w:pPr>
        <w:pStyle w:val="Heading1"/>
      </w:pPr>
      <w:r>
        <w:rPr>
          <w:rFonts w:ascii="Georgia" w:cs="Georgia" w:eastAsia="Georgia" w:hAnsi="Georgia"/>
          <w:b/>
          <w:bCs/>
          <w:color w:val="1A1A2E"/>
          <w:sz w:val="32"/>
          <w:szCs w:val="32"/>
        </w:rPr>
        <w:t xml:space="preserve">2. The Core Mechanism: Arbitration Pressure as Gravitational Analog</w:t>
      </w:r>
    </w:p>
    <w:p>
      <w:pPr>
        <w:pBdr>
          <w:bottom w:val="single" w:color="3A3A6E" w:sz="4" w:space="1"/>
        </w:pBdr>
        <w:spacing w:after="160"/>
      </w:pPr>
    </w:p>
    <w:p>
      <w:pPr>
        <w:pStyle w:val="Heading2"/>
      </w:pPr>
      <w:r>
        <w:rPr>
          <w:rFonts w:ascii="Georgia" w:cs="Georgia" w:eastAsia="Georgia" w:hAnsi="Georgia"/>
          <w:b/>
          <w:bCs/>
          <w:color w:val="1A1A2E"/>
          <w:sz w:val="26"/>
          <w:szCs w:val="26"/>
        </w:rPr>
        <w:t xml:space="preserve">2.1 Stabilized Basins and Their Neighborhood Influence</w:t>
      </w:r>
    </w:p>
    <w:p>
      <w:pPr>
        <w:spacing w:after="160" w:before="80"/>
      </w:pPr>
      <w:r>
        <w:rPr>
          <w:rFonts w:ascii="Georgia" w:cs="Georgia" w:eastAsia="Georgia" w:hAnsi="Georgia"/>
          <w:sz w:val="22"/>
          <w:szCs w:val="22"/>
        </w:rPr>
        <w:t xml:space="preserve">A coherent recursive knot — a persistent structure in the MPF sense — is formalized as a stabilized reconciliation basin B_U (LAW-011). The basin is characterized by:</w:t>
      </w:r>
    </w:p>
    <w:p>
      <w:pPr>
        <w:spacing w:after="160" w:before="80"/>
      </w:pPr>
      <w:r>
        <w:rPr>
          <w:rFonts w:ascii="Courier New" w:cs="Courier New" w:eastAsia="Courier New" w:hAnsi="Courier New"/>
          <w:sz w:val="20"/>
          <w:szCs w:val="20"/>
        </w:rPr>
        <w:t xml:space="preserve">  B_U := { α ∈ U : R_α recurs with bounded drift and finite transport flux }</w:t>
      </w:r>
    </w:p>
    <w:p>
      <w:pPr>
        <w:spacing w:after="160" w:before="80"/>
      </w:pPr>
      <w:r>
        <w:rPr>
          <w:rFonts w:ascii="Georgia" w:cs="Georgia" w:eastAsia="Georgia" w:hAnsi="Georgia"/>
          <w:sz w:val="22"/>
          <w:szCs w:val="22"/>
        </w:rPr>
        <w:t xml:space="preserve">Persistence is maintained through active reconciliation recurrence, not static equilibrium. The basin continually consumes local admissibility budget B_A(α) (LAW-021) through continuation cost Cost_A(R_α).</w:t>
      </w:r>
    </w:p>
    <w:p>
      <w:pPr>
        <w:spacing w:after="160" w:before="80"/>
      </w:pPr>
      <w:r>
        <w:rPr>
          <w:rFonts w:ascii="Georgia" w:cs="Georgia" w:eastAsia="Georgia" w:hAnsi="Georgia"/>
          <w:sz w:val="22"/>
          <w:szCs w:val="22"/>
        </w:rPr>
        <w:t xml:space="preserve">What the prior note did not fully develop is what this budget consumption implies for neighboring loci outside the basin boundary. The basin does not merely occupy its own region — it propagates a continuous admissibility gradient G_A(U) (LAW-031) across reachable neighboring loci. This gradient is not geometric curvature in a primitive sense. It is a continuous variation in the local admissibility margin available to continuation candidates at each locus in the basin's accessibility domain CSI(α).</w:t>
      </w:r>
    </w:p>
    <w:p>
      <w:pPr>
        <w:pStyle w:val="Heading2"/>
      </w:pPr>
      <w:r>
        <w:rPr>
          <w:rFonts w:ascii="Georgia" w:cs="Georgia" w:eastAsia="Georgia" w:hAnsi="Georgia"/>
          <w:b/>
          <w:bCs/>
          <w:color w:val="1A1A2E"/>
          <w:sz w:val="26"/>
          <w:szCs w:val="26"/>
        </w:rPr>
        <w:t xml:space="preserve">2.2 Arbitration Narrowing</w:t>
      </w:r>
    </w:p>
    <w:p>
      <w:pPr>
        <w:spacing w:after="160" w:before="80"/>
      </w:pPr>
      <w:r>
        <w:rPr>
          <w:rFonts w:ascii="Georgia" w:cs="Georgia" w:eastAsia="Georgia" w:hAnsi="Georgia"/>
          <w:sz w:val="22"/>
          <w:szCs w:val="22"/>
        </w:rPr>
        <w:t xml:space="preserve">At any locus α adjacent to a stabilized basin, the arbitration operator Arb_A(Q_α) (LAW-029) resolves competing continuation candidates from the candidate set Q_α. Under normal conditions with no neighboring basin, this arbitration draws from a full local budget and a broad candidate set.</w:t>
      </w:r>
    </w:p>
    <w:p>
      <w:pPr>
        <w:spacing w:after="160" w:before="80"/>
      </w:pPr>
      <w:r>
        <w:rPr>
          <w:rFonts w:ascii="Georgia" w:cs="Georgia" w:eastAsia="Georgia" w:hAnsi="Georgia"/>
          <w:sz w:val="22"/>
          <w:szCs w:val="22"/>
        </w:rPr>
        <w:t xml:space="preserve">When a stabilized basin operates in the neighborhood, two effects compound:</w:t>
      </w:r>
    </w:p>
    <w:p>
      <w:pPr>
        <w:spacing w:after="160" w:before="80"/>
      </w:pPr>
      <w:r>
        <w:rPr>
          <w:rFonts w:ascii="Georgia" w:cs="Georgia" w:eastAsia="Georgia" w:hAnsi="Georgia"/>
          <w:b/>
          <w:bCs/>
          <w:sz w:val="22"/>
          <w:szCs w:val="22"/>
        </w:rPr>
        <w:t xml:space="preserve">First</w:t>
      </w:r>
      <w:r>
        <w:rPr>
          <w:rFonts w:ascii="Georgia" w:cs="Georgia" w:eastAsia="Georgia" w:hAnsi="Georgia"/>
          <w:sz w:val="22"/>
          <w:szCs w:val="22"/>
        </w:rPr>
        <w:t xml:space="preserve">: The basin consumes shared admissibility budget through NavT transport flux (LAW-003, LAW-004), reducing B_A at neighboring loci proportionally to their accessibility coupling W_CSI(α, β).</w:t>
      </w:r>
    </w:p>
    <w:p>
      <w:pPr>
        <w:spacing w:after="160" w:before="80"/>
      </w:pPr>
      <w:r>
        <w:rPr>
          <w:rFonts w:ascii="Georgia" w:cs="Georgia" w:eastAsia="Georgia" w:hAnsi="Georgia"/>
          <w:b/>
          <w:bCs/>
          <w:sz w:val="22"/>
          <w:szCs w:val="22"/>
        </w:rPr>
        <w:t xml:space="preserve">Second</w:t>
      </w:r>
      <w:r>
        <w:rPr>
          <w:rFonts w:ascii="Georgia" w:cs="Georgia" w:eastAsia="Georgia" w:hAnsi="Georgia"/>
          <w:sz w:val="22"/>
          <w:szCs w:val="22"/>
        </w:rPr>
        <w:t xml:space="preserve">: The basin's reinforcement history H(C_P, n) (LAW-015) propagates through law-like persistence channels C_P (LAW-012), creating preferential propagation toward pathways the basin already reinforces.</w:t>
      </w:r>
    </w:p>
    <w:p>
      <w:pPr>
        <w:spacing w:after="160" w:before="80"/>
      </w:pPr>
      <w:r>
        <w:rPr>
          <w:rFonts w:ascii="Georgia" w:cs="Georgia" w:eastAsia="Georgia" w:hAnsi="Georgia"/>
          <w:sz w:val="22"/>
          <w:szCs w:val="22"/>
        </w:rPr>
        <w:t xml:space="preserve">The joint effect is that arbitration at neighboring loci is no longer operating over a flat candidate landscape. Candidates that align with the basin's reinforced channels inherit higher priority scores Priority_A(q_i). Candidates that would route away from the basin's channels face elevated cost relative to the reduced budget. The arbitration outcome is systematically biased — not by attraction as a force — but by the progressive pruning of non-aligned candidates.</w:t>
      </w:r>
    </w:p>
    <w:p>
      <w:pPr>
        <w:spacing w:after="120" w:before="120"/>
        <w:jc w:val="center"/>
      </w:pPr>
      <w:r>
        <w:rPr>
          <w:rFonts w:ascii="Courier New" w:cs="Courier New" w:eastAsia="Courier New" w:hAnsi="Courier New"/>
          <w:color w:val="2A2A5A"/>
          <w:sz w:val="20"/>
          <w:szCs w:val="20"/>
        </w:rPr>
        <w:t xml:space="preserve">Arb_A(Q_α) → preferential selection of candidates ∈ C_P(basin)</w:t>
      </w:r>
    </w:p>
    <w:p>
      <w:pPr>
        <w:spacing w:after="160" w:before="80"/>
      </w:pPr>
      <w:r>
        <w:rPr>
          <w:rFonts w:ascii="Georgia" w:cs="Georgia" w:eastAsia="Georgia" w:hAnsi="Georgia"/>
          <w:sz w:val="22"/>
          <w:szCs w:val="22"/>
        </w:rPr>
        <w:t xml:space="preserve">This is what gravity_app is, under the Codex vocabulary: the observable statistical bias in continuation arbitration produced by a stabilized basin's budget-consumption and channel-reinforcement footprint across its accessibility domain.</w:t>
      </w:r>
    </w:p>
    <w:p>
      <w:pPr>
        <w:pStyle w:val="Heading2"/>
      </w:pPr>
      <w:r>
        <w:rPr>
          <w:rFonts w:ascii="Georgia" w:cs="Georgia" w:eastAsia="Georgia" w:hAnsi="Georgia"/>
          <w:b/>
          <w:bCs/>
          <w:color w:val="1A1A2E"/>
          <w:sz w:val="26"/>
          <w:szCs w:val="26"/>
        </w:rPr>
        <w:t xml:space="preserve">2.3 Downward Constraint Propagation as the Gravitational Gradient</w:t>
      </w:r>
    </w:p>
    <w:p>
      <w:pPr>
        <w:spacing w:after="160" w:before="80"/>
      </w:pPr>
      <w:r>
        <w:rPr>
          <w:rFonts w:ascii="Georgia" w:cs="Georgia" w:eastAsia="Georgia" w:hAnsi="Georgia"/>
          <w:sz w:val="22"/>
          <w:szCs w:val="22"/>
        </w:rPr>
        <w:t xml:space="preserve">The multi-scale coherence transfer law (LAW-030) defines downward constraint propagation as:</w:t>
      </w:r>
    </w:p>
    <w:p>
      <w:pPr>
        <w:spacing w:after="160" w:before="80"/>
      </w:pPr>
      <w:r>
        <w:rPr>
          <w:rFonts w:ascii="Courier New" w:cs="Courier New" w:eastAsia="Courier New" w:hAnsi="Courier New"/>
          <w:sz w:val="20"/>
          <w:szCs w:val="20"/>
        </w:rPr>
        <w:t xml:space="preserve">  Constrain(S_j → S_i)</w:t>
      </w:r>
      <w:r>
        <w:rPr>
          <w:rFonts w:ascii="Georgia" w:cs="Georgia" w:eastAsia="Georgia" w:hAnsi="Georgia"/>
          <w:sz w:val="22"/>
          <w:szCs w:val="22"/>
        </w:rPr>
        <w:t xml:space="preserve">: Higher-order coherence narrowing local admissible continuation options.</w:t>
      </w:r>
    </w:p>
    <w:p>
      <w:pPr>
        <w:spacing w:after="160" w:before="80"/>
      </w:pPr>
      <w:r>
        <w:rPr>
          <w:rFonts w:ascii="Georgia" w:cs="Georgia" w:eastAsia="Georgia" w:hAnsi="Georgia"/>
          <w:sz w:val="22"/>
          <w:szCs w:val="22"/>
        </w:rPr>
        <w:t xml:space="preserve">A stabilized massive basin constitutes a higher-order coherence layer S_j relative to the loci it influences S_i. Its downward constraint propagation is exactly the admissibility gradient G_A(U): a continuous, spatially-structured narrowing of local continuation freedom in the direction of the basin.</w:t>
      </w:r>
    </w:p>
    <w:p>
      <w:pPr>
        <w:spacing w:after="160" w:before="80"/>
      </w:pPr>
      <w:r>
        <w:rPr>
          <w:rFonts w:ascii="Georgia" w:cs="Georgia" w:eastAsia="Georgia" w:hAnsi="Georgia"/>
          <w:sz w:val="22"/>
          <w:szCs w:val="22"/>
        </w:rPr>
        <w:t xml:space="preserve">The operational curvature of the prior note:</w:t>
      </w:r>
    </w:p>
    <w:p>
      <w:pPr>
        <w:spacing w:after="120" w:before="120"/>
        <w:jc w:val="center"/>
      </w:pPr>
      <w:r>
        <w:rPr>
          <w:rFonts w:ascii="Courier New" w:cs="Courier New" w:eastAsia="Courier New" w:hAnsi="Courier New"/>
          <w:color w:val="2A2A5A"/>
          <w:sz w:val="20"/>
          <w:szCs w:val="20"/>
        </w:rPr>
        <w:t xml:space="preserve">κ(s) = d/ds Δ_align(s) + λ δ_T(s) ⇒_proj gravity_app</w:t>
      </w:r>
    </w:p>
    <w:p>
      <w:pPr>
        <w:spacing w:after="160" w:before="80"/>
      </w:pPr>
      <w:r>
        <w:rPr>
          <w:rFonts w:ascii="Georgia" w:cs="Georgia" w:eastAsia="Georgia" w:hAnsi="Georgia"/>
          <w:sz w:val="22"/>
          <w:szCs w:val="22"/>
        </w:rPr>
        <w:t xml:space="preserve">is now interpreted more precisely as the rate of change of arbitration priority bias across loci, with δ_T representing the triadic stabilization criticality contribution to the basin's reinforcement channel strength. Curvature is not geometric in the first instance — it is the gradient of arbitration narrowing, which then projects into apparent geometric deformation (geometry_app, LAW-010) as a secondary derived appearance.</w:t>
      </w:r>
    </w:p>
    <w:p>
      <w:pPr>
        <w:spacing w:after="60" w:before="60"/>
      </w:pPr>
      <w:r>
        <w:t xml:space="preserve"/>
      </w:r>
    </w:p>
    <w:p>
      <w:pPr>
        <w:pStyle w:val="Heading1"/>
      </w:pPr>
      <w:r>
        <w:rPr>
          <w:rFonts w:ascii="Georgia" w:cs="Georgia" w:eastAsia="Georgia" w:hAnsi="Georgia"/>
          <w:b/>
          <w:bCs/>
          <w:color w:val="1A1A2E"/>
          <w:sz w:val="32"/>
          <w:szCs w:val="32"/>
        </w:rPr>
        <w:t xml:space="preserve">3. Refined Process Chain</w:t>
      </w:r>
    </w:p>
    <w:p>
      <w:pPr>
        <w:pBdr>
          <w:bottom w:val="single" w:color="3A3A6E" w:sz="4" w:space="1"/>
        </w:pBdr>
        <w:spacing w:after="160"/>
      </w:pPr>
    </w:p>
    <w:p>
      <w:pPr>
        <w:spacing w:after="160" w:before="80"/>
      </w:pPr>
      <w:r>
        <w:rPr>
          <w:rFonts w:ascii="Georgia" w:cs="Georgia" w:eastAsia="Georgia" w:hAnsi="Georgia"/>
          <w:sz w:val="22"/>
          <w:szCs w:val="22"/>
        </w:rPr>
        <w:t xml:space="preserve">The prior note proposed:</w:t>
      </w:r>
    </w:p>
    <w:p>
      <w:pPr>
        <w:spacing w:after="120" w:before="120"/>
        <w:jc w:val="center"/>
      </w:pPr>
      <w:r>
        <w:rPr>
          <w:rFonts w:ascii="Courier New" w:cs="Courier New" w:eastAsia="Courier New" w:hAnsi="Courier New"/>
          <w:color w:val="2A2A5A"/>
          <w:sz w:val="20"/>
          <w:szCs w:val="20"/>
        </w:rPr>
        <w:t xml:space="preserve">substrate dynamics → ordered mismatch asymmetry → triadic stabilization → recursive continuation redistribution → emergent geometry deformation → gravity_app</w:t>
      </w:r>
    </w:p>
    <w:p>
      <w:pPr>
        <w:spacing w:after="160" w:before="80"/>
      </w:pPr>
      <w:r>
        <w:rPr>
          <w:rFonts w:ascii="Georgia" w:cs="Georgia" w:eastAsia="Georgia" w:hAnsi="Georgia"/>
          <w:sz w:val="22"/>
          <w:szCs w:val="22"/>
        </w:rPr>
        <w:t xml:space="preserve">The refined chain inserts the mechanically specific steps:</w:t>
      </w:r>
    </w:p>
    <w:p>
      <w:pPr>
        <w:spacing w:after="120" w:before="120"/>
        <w:jc w:val="center"/>
      </w:pPr>
      <w:r>
        <w:rPr>
          <w:rFonts w:ascii="Courier New" w:cs="Courier New" w:eastAsia="Courier New" w:hAnsi="Courier New"/>
          <w:color w:val="2A2A5A"/>
          <w:sz w:val="20"/>
          <w:szCs w:val="20"/>
        </w:rPr>
        <w:t xml:space="preserve">substrate dynamics</w:t>
      </w:r>
    </w:p>
    <w:p>
      <w:pPr>
        <w:spacing w:after="120" w:before="120"/>
        <w:jc w:val="center"/>
      </w:pPr>
      <w:r>
        <w:rPr>
          <w:rFonts w:ascii="Courier New" w:cs="Courier New" w:eastAsia="Courier New" w:hAnsi="Courier New"/>
          <w:color w:val="2A2A5A"/>
          <w:sz w:val="20"/>
          <w:szCs w:val="20"/>
        </w:rPr>
        <w:t xml:space="preserve">↓</w:t>
      </w:r>
    </w:p>
    <w:p>
      <w:pPr>
        <w:spacing w:after="120" w:before="120"/>
        <w:jc w:val="center"/>
      </w:pPr>
      <w:r>
        <w:rPr>
          <w:rFonts w:ascii="Courier New" w:cs="Courier New" w:eastAsia="Courier New" w:hAnsi="Courier New"/>
          <w:color w:val="2A2A5A"/>
          <w:sz w:val="20"/>
          <w:szCs w:val="20"/>
        </w:rPr>
        <w:t xml:space="preserve">ordered mismatch asymmetry [ΔR &gt; 0, LAW-006]</w:t>
      </w:r>
    </w:p>
    <w:p>
      <w:pPr>
        <w:spacing w:after="120" w:before="120"/>
        <w:jc w:val="center"/>
      </w:pPr>
      <w:r>
        <w:rPr>
          <w:rFonts w:ascii="Courier New" w:cs="Courier New" w:eastAsia="Courier New" w:hAnsi="Courier New"/>
          <w:color w:val="2A2A5A"/>
          <w:sz w:val="20"/>
          <w:szCs w:val="20"/>
        </w:rPr>
        <w:t xml:space="preserve">↓</w:t>
      </w:r>
    </w:p>
    <w:p>
      <w:pPr>
        <w:spacing w:after="120" w:before="120"/>
        <w:jc w:val="center"/>
      </w:pPr>
      <w:r>
        <w:rPr>
          <w:rFonts w:ascii="Courier New" w:cs="Courier New" w:eastAsia="Courier New" w:hAnsi="Courier New"/>
          <w:color w:val="2A2A5A"/>
          <w:sz w:val="20"/>
          <w:szCs w:val="20"/>
        </w:rPr>
        <w:t xml:space="preserve">triadic closure → stabilized basin B_U [LAW-011]</w:t>
      </w:r>
    </w:p>
    <w:p>
      <w:pPr>
        <w:spacing w:after="120" w:before="120"/>
        <w:jc w:val="center"/>
      </w:pPr>
      <w:r>
        <w:rPr>
          <w:rFonts w:ascii="Courier New" w:cs="Courier New" w:eastAsia="Courier New" w:hAnsi="Courier New"/>
          <w:color w:val="2A2A5A"/>
          <w:sz w:val="20"/>
          <w:szCs w:val="20"/>
        </w:rPr>
        <w:t xml:space="preserve">↓</w:t>
      </w:r>
    </w:p>
    <w:p>
      <w:pPr>
        <w:spacing w:after="120" w:before="120"/>
        <w:jc w:val="center"/>
      </w:pPr>
      <w:r>
        <w:rPr>
          <w:rFonts w:ascii="Courier New" w:cs="Courier New" w:eastAsia="Courier New" w:hAnsi="Courier New"/>
          <w:color w:val="2A2A5A"/>
          <w:sz w:val="20"/>
          <w:szCs w:val="20"/>
        </w:rPr>
        <w:t xml:space="preserve">basin budget consumption → admissibility gradient G_A(U) [LAW-021, LAW-031]</w:t>
      </w:r>
    </w:p>
    <w:p>
      <w:pPr>
        <w:spacing w:after="120" w:before="120"/>
        <w:jc w:val="center"/>
      </w:pPr>
      <w:r>
        <w:rPr>
          <w:rFonts w:ascii="Courier New" w:cs="Courier New" w:eastAsia="Courier New" w:hAnsi="Courier New"/>
          <w:color w:val="2A2A5A"/>
          <w:sz w:val="20"/>
          <w:szCs w:val="20"/>
        </w:rPr>
        <w:t xml:space="preserve">↓</w:t>
      </w:r>
    </w:p>
    <w:p>
      <w:pPr>
        <w:spacing w:after="120" w:before="120"/>
        <w:jc w:val="center"/>
      </w:pPr>
      <w:r>
        <w:rPr>
          <w:rFonts w:ascii="Courier New" w:cs="Courier New" w:eastAsia="Courier New" w:hAnsi="Courier New"/>
          <w:color w:val="2A2A5A"/>
          <w:sz w:val="20"/>
          <w:szCs w:val="20"/>
        </w:rPr>
        <w:t xml:space="preserve">channel reinforcement propagation via C_P [LAW-012, LAW-015]</w:t>
      </w:r>
    </w:p>
    <w:p>
      <w:pPr>
        <w:spacing w:after="120" w:before="120"/>
        <w:jc w:val="center"/>
      </w:pPr>
      <w:r>
        <w:rPr>
          <w:rFonts w:ascii="Courier New" w:cs="Courier New" w:eastAsia="Courier New" w:hAnsi="Courier New"/>
          <w:color w:val="2A2A5A"/>
          <w:sz w:val="20"/>
          <w:szCs w:val="20"/>
        </w:rPr>
        <w:t xml:space="preserve">↓</w:t>
      </w:r>
    </w:p>
    <w:p>
      <w:pPr>
        <w:spacing w:after="120" w:before="120"/>
        <w:jc w:val="center"/>
      </w:pPr>
      <w:r>
        <w:rPr>
          <w:rFonts w:ascii="Courier New" w:cs="Courier New" w:eastAsia="Courier New" w:hAnsi="Courier New"/>
          <w:color w:val="2A2A5A"/>
          <w:sz w:val="20"/>
          <w:szCs w:val="20"/>
        </w:rPr>
        <w:t xml:space="preserve">arbitration narrowing at neighboring loci Arb_A(Q_α) [LAW-029]</w:t>
      </w:r>
    </w:p>
    <w:p>
      <w:pPr>
        <w:spacing w:after="120" w:before="120"/>
        <w:jc w:val="center"/>
      </w:pPr>
      <w:r>
        <w:rPr>
          <w:rFonts w:ascii="Courier New" w:cs="Courier New" w:eastAsia="Courier New" w:hAnsi="Courier New"/>
          <w:color w:val="2A2A5A"/>
          <w:sz w:val="20"/>
          <w:szCs w:val="20"/>
        </w:rPr>
        <w:t xml:space="preserve">↓</w:t>
      </w:r>
    </w:p>
    <w:p>
      <w:pPr>
        <w:spacing w:after="120" w:before="120"/>
        <w:jc w:val="center"/>
      </w:pPr>
      <w:r>
        <w:rPr>
          <w:rFonts w:ascii="Courier New" w:cs="Courier New" w:eastAsia="Courier New" w:hAnsi="Courier New"/>
          <w:color w:val="2A2A5A"/>
          <w:sz w:val="20"/>
          <w:szCs w:val="20"/>
        </w:rPr>
        <w:t xml:space="preserve">downward constraint propagation Constrain(S_j → S_i) [LAW-030]</w:t>
      </w:r>
    </w:p>
    <w:p>
      <w:pPr>
        <w:spacing w:after="120" w:before="120"/>
        <w:jc w:val="center"/>
      </w:pPr>
      <w:r>
        <w:rPr>
          <w:rFonts w:ascii="Courier New" w:cs="Courier New" w:eastAsia="Courier New" w:hAnsi="Courier New"/>
          <w:color w:val="2A2A5A"/>
          <w:sz w:val="20"/>
          <w:szCs w:val="20"/>
        </w:rPr>
        <w:t xml:space="preserve">↓</w:t>
      </w:r>
    </w:p>
    <w:p>
      <w:pPr>
        <w:spacing w:after="120" w:before="120"/>
        <w:jc w:val="center"/>
      </w:pPr>
      <w:r>
        <w:rPr>
          <w:rFonts w:ascii="Courier New" w:cs="Courier New" w:eastAsia="Courier New" w:hAnsi="Courier New"/>
          <w:color w:val="2A2A5A"/>
          <w:sz w:val="20"/>
          <w:szCs w:val="20"/>
        </w:rPr>
        <w:t xml:space="preserve">geometry_app deformation [LAW-010]</w:t>
      </w:r>
    </w:p>
    <w:p>
      <w:pPr>
        <w:spacing w:after="120" w:before="120"/>
        <w:jc w:val="center"/>
      </w:pPr>
      <w:r>
        <w:rPr>
          <w:rFonts w:ascii="Courier New" w:cs="Courier New" w:eastAsia="Courier New" w:hAnsi="Courier New"/>
          <w:color w:val="2A2A5A"/>
          <w:sz w:val="20"/>
          <w:szCs w:val="20"/>
        </w:rPr>
        <w:t xml:space="preserve">↓</w:t>
      </w:r>
    </w:p>
    <w:p>
      <w:pPr>
        <w:spacing w:after="120" w:before="120"/>
        <w:jc w:val="center"/>
      </w:pPr>
      <w:r>
        <w:rPr>
          <w:rFonts w:ascii="Courier New" w:cs="Courier New" w:eastAsia="Courier New" w:hAnsi="Courier New"/>
          <w:color w:val="2A2A5A"/>
          <w:sz w:val="20"/>
          <w:szCs w:val="20"/>
        </w:rPr>
        <w:t xml:space="preserve">gravity_app</w:t>
      </w:r>
    </w:p>
    <w:p>
      <w:pPr>
        <w:spacing w:after="160" w:before="80"/>
      </w:pPr>
      <w:r>
        <w:rPr>
          <w:rFonts w:ascii="Georgia" w:cs="Georgia" w:eastAsia="Georgia" w:hAnsi="Georgia"/>
          <w:sz w:val="22"/>
          <w:szCs w:val="22"/>
        </w:rPr>
        <w:t xml:space="preserve">Each arrow is now a named Codex operation rather than a conceptual gesture. This makes the chain falsifiable at each step within the framework's own terms.</w:t>
      </w:r>
    </w:p>
    <w:p>
      <w:pPr>
        <w:spacing w:after="60" w:before="60"/>
      </w:pPr>
      <w:r>
        <w:t xml:space="preserve"/>
      </w:r>
    </w:p>
    <w:p>
      <w:pPr>
        <w:pStyle w:val="Heading1"/>
      </w:pPr>
      <w:r>
        <w:rPr>
          <w:rFonts w:ascii="Georgia" w:cs="Georgia" w:eastAsia="Georgia" w:hAnsi="Georgia"/>
          <w:b/>
          <w:bCs/>
          <w:color w:val="1A1A2E"/>
          <w:sz w:val="32"/>
          <w:szCs w:val="32"/>
        </w:rPr>
        <w:t xml:space="preserve">4. Gravitational Weakness as Structural Consequence</w:t>
      </w:r>
    </w:p>
    <w:p>
      <w:pPr>
        <w:pBdr>
          <w:bottom w:val="single" w:color="3A3A6E" w:sz="4" w:space="1"/>
        </w:pBdr>
        <w:spacing w:after="160"/>
      </w:pPr>
    </w:p>
    <w:p>
      <w:pPr>
        <w:spacing w:after="160" w:before="80"/>
      </w:pPr>
      <w:r>
        <w:rPr>
          <w:rFonts w:ascii="Georgia" w:cs="Georgia" w:eastAsia="Georgia" w:hAnsi="Georgia"/>
          <w:sz w:val="22"/>
          <w:szCs w:val="22"/>
        </w:rPr>
        <w:t xml:space="preserve">The prior note noted that gravitational weakness is 'proposed' to result from gravity being a downstream projection. The refined account makes this structurally unavoidable.</w:t>
      </w:r>
    </w:p>
    <w:p>
      <w:pPr>
        <w:spacing w:after="160" w:before="80"/>
      </w:pPr>
      <w:r>
        <w:rPr>
          <w:rFonts w:ascii="Georgia" w:cs="Georgia" w:eastAsia="Georgia" w:hAnsi="Georgia"/>
          <w:sz w:val="22"/>
          <w:szCs w:val="22"/>
        </w:rPr>
        <w:t xml:space="preserve">The arbitration narrowing at any given locus is a function of:</w:t>
      </w:r>
    </w:p>
    <w:p>
      <w:pPr>
        <w:spacing w:after="160" w:before="80"/>
      </w:pPr>
      <w:r>
        <w:rPr>
          <w:rFonts w:ascii="Courier New" w:cs="Courier New" w:eastAsia="Courier New" w:hAnsi="Courier New"/>
          <w:sz w:val="20"/>
          <w:szCs w:val="20"/>
        </w:rPr>
        <w:t xml:space="preserve">  W_CSI(α, β)</w:t>
      </w:r>
      <w:r>
        <w:rPr>
          <w:rFonts w:ascii="Georgia" w:cs="Georgia" w:eastAsia="Georgia" w:hAnsi="Georgia"/>
          <w:sz w:val="22"/>
          <w:szCs w:val="22"/>
        </w:rPr>
        <w:t xml:space="preserve"> — the coupling weight, which decays with orientation-array distance (LAW-003)</w:t>
      </w:r>
    </w:p>
    <w:p>
      <w:pPr>
        <w:spacing w:after="160" w:before="80"/>
      </w:pPr>
      <w:r>
        <w:rPr>
          <w:rFonts w:ascii="Courier New" w:cs="Courier New" w:eastAsia="Courier New" w:hAnsi="Courier New"/>
          <w:sz w:val="20"/>
          <w:szCs w:val="20"/>
        </w:rPr>
        <w:t xml:space="preserve">  B_A(α)</w:t>
      </w:r>
      <w:r>
        <w:rPr>
          <w:rFonts w:ascii="Georgia" w:cs="Georgia" w:eastAsia="Georgia" w:hAnsi="Georgia"/>
          <w:sz w:val="22"/>
          <w:szCs w:val="22"/>
        </w:rPr>
        <w:t xml:space="preserve"> — the local budget, which must support all local continuation independently of basin influence</w:t>
      </w:r>
    </w:p>
    <w:p>
      <w:pPr>
        <w:spacing w:after="160" w:before="80"/>
      </w:pPr>
      <w:r>
        <w:rPr>
          <w:rFonts w:ascii="Courier New" w:cs="Courier New" w:eastAsia="Courier New" w:hAnsi="Courier New"/>
          <w:sz w:val="20"/>
          <w:szCs w:val="20"/>
        </w:rPr>
        <w:t xml:space="preserve">  H(C_P, n)</w:t>
      </w:r>
      <w:r>
        <w:rPr>
          <w:rFonts w:ascii="Georgia" w:cs="Georgia" w:eastAsia="Georgia" w:hAnsi="Georgia"/>
          <w:sz w:val="22"/>
          <w:szCs w:val="22"/>
        </w:rPr>
        <w:t xml:space="preserve"> — the reinforcement history depth, which determines channel priority bias strength</w:t>
      </w:r>
    </w:p>
    <w:p>
      <w:pPr>
        <w:spacing w:after="160" w:before="80"/>
      </w:pPr>
      <w:r>
        <w:rPr>
          <w:rFonts w:ascii="Georgia" w:cs="Georgia" w:eastAsia="Georgia" w:hAnsi="Georgia"/>
          <w:sz w:val="22"/>
          <w:szCs w:val="22"/>
        </w:rPr>
        <w:t xml:space="preserve">Each of these attenuates across the orientation array. The basin's channel-reinforcement signal reaches neighboring loci only after passing through NavT transport (LAW-003), subject to finite flux constraint Φ_α &lt; ∞ (LAW-004), and reconstruction loss (LAW-016). The arbitration bias at any given locus is therefore a heavily attenuated residue of the basin's internal dynamics.</w:t>
      </w:r>
    </w:p>
    <w:p>
      <w:pPr>
        <w:spacing w:after="160" w:before="80"/>
      </w:pPr>
      <w:r>
        <w:rPr>
          <w:rFonts w:ascii="Georgia" w:cs="Georgia" w:eastAsia="Georgia" w:hAnsi="Georgia"/>
          <w:sz w:val="22"/>
          <w:szCs w:val="22"/>
        </w:rPr>
        <w:t xml:space="preserve">Gravity_app is weak not because a mediating particle is missing or because coupling constants are small by accident. It is weak because it is measured at the end of a multi-stage attenuation chain: transport decay, budget dilution, reconstruction compression, and geometry projection. The weakness is an intrinsic property of the derivation depth, not a parameter to be explained separately.</w:t>
      </w:r>
    </w:p>
    <w:p>
      <w:pPr>
        <w:spacing w:after="60" w:before="60"/>
      </w:pPr>
      <w:r>
        <w:t xml:space="preserve"/>
      </w:r>
    </w:p>
    <w:p>
      <w:pPr>
        <w:pStyle w:val="Heading1"/>
      </w:pPr>
      <w:r>
        <w:rPr>
          <w:rFonts w:ascii="Georgia" w:cs="Georgia" w:eastAsia="Georgia" w:hAnsi="Georgia"/>
          <w:b/>
          <w:bCs/>
          <w:color w:val="1A1A2E"/>
          <w:sz w:val="32"/>
          <w:szCs w:val="32"/>
        </w:rPr>
        <w:t xml:space="preserve">5. Different Admissibility Regimes and Different Geometries</w:t>
      </w:r>
    </w:p>
    <w:p>
      <w:pPr>
        <w:pBdr>
          <w:bottom w:val="single" w:color="3A3A6E" w:sz="4" w:space="1"/>
        </w:pBdr>
        <w:spacing w:after="160"/>
      </w:pPr>
    </w:p>
    <w:p>
      <w:pPr>
        <w:spacing w:after="160" w:before="80"/>
      </w:pPr>
      <w:r>
        <w:rPr>
          <w:rFonts w:ascii="Georgia" w:cs="Georgia" w:eastAsia="Georgia" w:hAnsi="Georgia"/>
          <w:sz w:val="22"/>
          <w:szCs w:val="22"/>
        </w:rPr>
        <w:t xml:space="preserve">A structural claim implicit in the Codex formulation but worth making explicit: if geometry_app is stabilized recursive admissibility organization (LAW-010), then different admissibility regimes — different deformation regime bindings x in the core operator ⇔_x — should correspond to different emergent geometry_app structures.</w:t>
      </w:r>
    </w:p>
    <w:p>
      <w:pPr>
        <w:spacing w:after="160" w:before="80"/>
      </w:pPr>
      <w:r>
        <w:rPr>
          <w:rFonts w:ascii="Georgia" w:cs="Georgia" w:eastAsia="Georgia" w:hAnsi="Georgia"/>
          <w:sz w:val="22"/>
          <w:szCs w:val="22"/>
        </w:rPr>
        <w:t xml:space="preserve">This is not a physical prediction in the standard sense. It is an internal consistency requirement of the framework. Specifically:</w:t>
      </w:r>
    </w:p>
    <w:p>
      <w:pPr>
        <w:spacing w:after="160" w:before="80"/>
      </w:pPr>
      <w:r>
        <w:rPr>
          <w:rFonts w:ascii="Georgia" w:cs="Georgia" w:eastAsia="Georgia" w:hAnsi="Georgia"/>
          <w:b/>
          <w:bCs/>
          <w:sz w:val="22"/>
          <w:szCs w:val="22"/>
        </w:rPr>
        <w:t xml:space="preserve">Flat geometry_app analog</w:t>
      </w:r>
      <w:r>
        <w:rPr>
          <w:rFonts w:ascii="Georgia" w:cs="Georgia" w:eastAsia="Georgia" w:hAnsi="Georgia"/>
          <w:sz w:val="22"/>
          <w:szCs w:val="22"/>
        </w:rPr>
        <w:t xml:space="preserve"> suggests: uniform admissibility gradient, arbitration operating over a flat candidate landscape, no dominant basin exerting downward constraint propagation.</w:t>
      </w:r>
    </w:p>
    <w:p>
      <w:pPr>
        <w:spacing w:after="160" w:before="80"/>
      </w:pPr>
      <w:r>
        <w:rPr>
          <w:rFonts w:ascii="Georgia" w:cs="Georgia" w:eastAsia="Georgia" w:hAnsi="Georgia"/>
          <w:b/>
          <w:bCs/>
          <w:sz w:val="22"/>
          <w:szCs w:val="22"/>
        </w:rPr>
        <w:t xml:space="preserve">Curved geometry_app analog</w:t>
      </w:r>
      <w:r>
        <w:rPr>
          <w:rFonts w:ascii="Georgia" w:cs="Georgia" w:eastAsia="Georgia" w:hAnsi="Georgia"/>
          <w:sz w:val="22"/>
          <w:szCs w:val="22"/>
        </w:rPr>
        <w:t xml:space="preserve"> suggests: non-uniform G_A(U) produced by a stabilized basin family 𝔅_U (LAW-024), with arbitration systematically biased across an accessibility domain.</w:t>
      </w:r>
    </w:p>
    <w:p>
      <w:pPr>
        <w:spacing w:after="160" w:before="80"/>
      </w:pPr>
      <w:r>
        <w:rPr>
          <w:rFonts w:ascii="Georgia" w:cs="Georgia" w:eastAsia="Georgia" w:hAnsi="Georgia"/>
          <w:b/>
          <w:bCs/>
          <w:sz w:val="22"/>
          <w:szCs w:val="22"/>
        </w:rPr>
        <w:t xml:space="preserve">Topological defect analog</w:t>
      </w:r>
      <w:r>
        <w:rPr>
          <w:rFonts w:ascii="Georgia" w:cs="Georgia" w:eastAsia="Georgia" w:hAnsi="Georgia"/>
          <w:sz w:val="22"/>
          <w:szCs w:val="22"/>
        </w:rPr>
        <w:t xml:space="preserve"> suggests: a channel fracture or basin collapse event (LAW-013, LAW-024) producing a localized region where arbitration candidates are severely pruned or budget is exhausted — a continuation-inaccessible zone.</w:t>
      </w:r>
    </w:p>
    <w:p>
      <w:pPr>
        <w:spacing w:after="160" w:before="80"/>
      </w:pPr>
      <w:r>
        <w:rPr>
          <w:rFonts w:ascii="Georgia" w:cs="Georgia" w:eastAsia="Georgia" w:hAnsi="Georgia"/>
          <w:sz w:val="22"/>
          <w:szCs w:val="22"/>
        </w:rPr>
        <w:t xml:space="preserve">These are structural analogs, not physical geometry claims. But they suggest that the framework's internal geometry vocabulary is rich enough to distinguish qualitatively different spacetime-analog regimes from first principles, without importing metric structure from outside.</w:t>
      </w:r>
    </w:p>
    <w:p>
      <w:pPr>
        <w:spacing w:after="60" w:before="60"/>
      </w:pPr>
      <w:r>
        <w:t xml:space="preserve"/>
      </w:r>
    </w:p>
    <w:p>
      <w:pPr>
        <w:pStyle w:val="Heading1"/>
      </w:pPr>
      <w:r>
        <w:rPr>
          <w:rFonts w:ascii="Georgia" w:cs="Georgia" w:eastAsia="Georgia" w:hAnsi="Georgia"/>
          <w:b/>
          <w:bCs/>
          <w:color w:val="1A1A2E"/>
          <w:sz w:val="32"/>
          <w:szCs w:val="32"/>
        </w:rPr>
        <w:t xml:space="preserve">6. Compliance and Classification</w:t>
      </w:r>
    </w:p>
    <w:p>
      <w:pPr>
        <w:pBdr>
          <w:bottom w:val="single" w:color="3A3A6E" w:sz="4" w:space="1"/>
        </w:pBdr>
        <w:spacing w:after="160"/>
      </w:pPr>
    </w:p>
    <w:p>
      <w:pPr>
        <w:spacing w:after="160" w:before="80"/>
      </w:pPr>
      <w:r>
        <w:rPr>
          <w:rFonts w:ascii="Georgia" w:cs="Georgia" w:eastAsia="Georgia" w:hAnsi="Georgia"/>
          <w:sz w:val="22"/>
          <w:szCs w:val="22"/>
        </w:rPr>
        <w:t xml:space="preserve">This technical note is classified as Theoretical under Charter v2.3. The claims made here are:</w:t>
      </w:r>
    </w:p>
    <w:p>
      <w:pPr>
        <w:spacing w:after="160" w:before="80"/>
      </w:pPr>
      <w:r>
        <w:rPr>
          <w:rFonts w:ascii="Georgia" w:cs="Georgia" w:eastAsia="Georgia" w:hAnsi="Georgia"/>
          <w:b/>
          <w:bCs/>
          <w:sz w:val="22"/>
          <w:szCs w:val="22"/>
        </w:rPr>
        <w:t xml:space="preserve">Internally consistent</w:t>
      </w:r>
      <w:r>
        <w:rPr>
          <w:rFonts w:ascii="Georgia" w:cs="Georgia" w:eastAsia="Georgia" w:hAnsi="Georgia"/>
          <w:sz w:val="22"/>
          <w:szCs w:val="22"/>
        </w:rPr>
        <w:t xml:space="preserve"> with the Codex operator vocabulary (LAW-003 through LAW-034) as documented.</w:t>
      </w:r>
    </w:p>
    <w:p>
      <w:pPr>
        <w:spacing w:after="160" w:before="80"/>
      </w:pPr>
      <w:r>
        <w:rPr>
          <w:rFonts w:ascii="Georgia" w:cs="Georgia" w:eastAsia="Georgia" w:hAnsi="Georgia"/>
          <w:b/>
          <w:bCs/>
          <w:sz w:val="22"/>
          <w:szCs w:val="22"/>
        </w:rPr>
        <w:t xml:space="preserve">Non-equivalent</w:t>
      </w:r>
      <w:r>
        <w:rPr>
          <w:rFonts w:ascii="Georgia" w:cs="Georgia" w:eastAsia="Georgia" w:hAnsi="Georgia"/>
          <w:sz w:val="22"/>
          <w:szCs w:val="22"/>
        </w:rPr>
        <w:t xml:space="preserve"> to physical general relativity, quantum gravity, or any experimentally validated gravitational theory.</w:t>
      </w:r>
    </w:p>
    <w:p>
      <w:pPr>
        <w:spacing w:after="160" w:before="80"/>
      </w:pPr>
      <w:r>
        <w:rPr>
          <w:rFonts w:ascii="Georgia" w:cs="Georgia" w:eastAsia="Georgia" w:hAnsi="Georgia"/>
          <w:b/>
          <w:bCs/>
          <w:sz w:val="22"/>
          <w:szCs w:val="22"/>
        </w:rPr>
        <w:t xml:space="preserve">Provisional</w:t>
      </w:r>
      <w:r>
        <w:rPr>
          <w:rFonts w:ascii="Georgia" w:cs="Georgia" w:eastAsia="Georgia" w:hAnsi="Georgia"/>
          <w:sz w:val="22"/>
          <w:szCs w:val="22"/>
        </w:rPr>
        <w:t xml:space="preserve"> pending formalization of the arbitration-narrowing quantification and its relationship to the geometry_app projection operator.</w:t>
      </w:r>
    </w:p>
    <w:p>
      <w:pPr>
        <w:spacing w:after="160" w:before="80"/>
      </w:pPr>
      <w:r>
        <w:rPr>
          <w:rFonts w:ascii="Georgia" w:cs="Georgia" w:eastAsia="Georgia" w:hAnsi="Georgia"/>
          <w:b/>
          <w:bCs/>
          <w:sz w:val="22"/>
          <w:szCs w:val="22"/>
        </w:rPr>
        <w:t xml:space="preserve">Falsifiable within the framework</w:t>
      </w:r>
      <w:r>
        <w:rPr>
          <w:rFonts w:ascii="Georgia" w:cs="Georgia" w:eastAsia="Georgia" w:hAnsi="Georgia"/>
          <w:sz w:val="22"/>
          <w:szCs w:val="22"/>
        </w:rPr>
        <w:t xml:space="preserve"> at each step of the refined process chain — a basin that does not produce a measurable admissibility gradient would falsify the core mechanism proposed here.</w:t>
      </w:r>
    </w:p>
    <w:p>
      <w:pPr>
        <w:spacing w:after="160" w:before="80"/>
        <w:ind w:left="720"/>
      </w:pPr>
      <w:r>
        <w:rPr>
          <w:rFonts w:ascii="Georgia" w:cs="Georgia" w:eastAsia="Georgia" w:hAnsi="Georgia"/>
          <w:i/>
          <w:iCs/>
          <w:color w:val="555555"/>
          <w:sz w:val="20"/>
          <w:szCs w:val="20"/>
        </w:rPr>
        <w:t xml:space="preserve">The suffix _app on gravity_app is retained throughout to maintain the identity restriction: this is an emergent analog projection, not a claim of equivalence with physical gravitation.</w:t>
      </w:r>
    </w:p>
    <w:p>
      <w:pPr>
        <w:spacing w:after="60" w:before="60"/>
      </w:pPr>
      <w:r>
        <w:t xml:space="preserve"/>
      </w:r>
    </w:p>
    <w:p>
      <w:pPr>
        <w:pStyle w:val="Heading1"/>
      </w:pPr>
      <w:r>
        <w:rPr>
          <w:rFonts w:ascii="Georgia" w:cs="Georgia" w:eastAsia="Georgia" w:hAnsi="Georgia"/>
          <w:b/>
          <w:bCs/>
          <w:color w:val="1A1A2E"/>
          <w:sz w:val="32"/>
          <w:szCs w:val="32"/>
        </w:rPr>
        <w:t xml:space="preserve">7. Refined Summary Dictum</w:t>
      </w:r>
    </w:p>
    <w:p>
      <w:pPr>
        <w:pBdr>
          <w:bottom w:val="single" w:color="3A3A6E" w:sz="4" w:space="1"/>
        </w:pBdr>
        <w:spacing w:after="160"/>
      </w:pPr>
    </w:p>
    <w:p>
      <w:pPr>
        <w:pBdr>
          <w:left w:val="thick" w:color="3A3A6E" w:sz="8" w:space="20"/>
        </w:pBdr>
        <w:spacing w:after="160" w:before="160"/>
        <w:ind w:left="720" w:right="720"/>
      </w:pPr>
      <w:r>
        <w:rPr>
          <w:rFonts w:ascii="Georgia" w:cs="Georgia" w:eastAsia="Georgia" w:hAnsi="Georgia"/>
          <w:i/>
          <w:iCs/>
          <w:color w:val="1A1A2E"/>
          <w:sz w:val="22"/>
          <w:szCs w:val="22"/>
        </w:rPr>
        <w:t xml:space="preserve">Gravity_app is the observable statistical bias in continuation arbitration — the progressive pruning of non-aligned candidates at neighboring loci — produced by a stabilized basin's budget consumption and channel-reinforcement footprint propagating as a continuous admissibility gradient across its orientation-array accessibility domain, projecting into apparent geometric curvature as a higher-order derived appearance.</w:t>
      </w:r>
    </w:p>
    <w:p>
      <w:pPr>
        <w:spacing w:after="60" w:before="60"/>
      </w:pPr>
      <w:r>
        <w:t xml:space="preserve"/>
      </w:r>
    </w:p>
    <w:p>
      <w:pPr>
        <w:spacing w:after="160" w:before="80"/>
      </w:pPr>
      <w:r>
        <w:rPr>
          <w:rFonts w:ascii="Georgia" w:cs="Georgia" w:eastAsia="Georgia" w:hAnsi="Georgia"/>
          <w:i/>
          <w:iCs/>
          <w:sz w:val="22"/>
          <w:szCs w:val="22"/>
        </w:rPr>
        <w:t xml:space="preserve">Objects do not fall toward mass. Their continuation candidates are progressively arbitrated away from paths that cost more than the basin-depleted local budget supports — until only basin-reinforced trajectories remain admissible.</w:t>
      </w:r>
    </w:p>
    <w:p>
      <w:pPr>
        <w:spacing w:after="60" w:before="60"/>
      </w:pPr>
      <w:r>
        <w:t xml:space="preserve"/>
      </w:r>
    </w:p>
    <w:p>
      <w:pPr>
        <w:spacing w:after="60" w:before="60"/>
      </w:pPr>
      <w:r>
        <w:t xml:space="preserve"/>
      </w:r>
    </w:p>
    <w:p>
      <w:pPr>
        <w:pBdr>
          <w:bottom w:val="single" w:color="3A3A6E" w:sz="4" w:space="1"/>
        </w:pBdr>
        <w:spacing w:after="160"/>
      </w:pPr>
    </w:p>
    <w:p>
      <w:pPr>
        <w:spacing w:after="80" w:before="80"/>
      </w:pPr>
      <w:r>
        <w:rPr>
          <w:rFonts w:ascii="Georgia" w:cs="Georgia" w:eastAsia="Georgia" w:hAnsi="Georgia"/>
          <w:caps/>
          <w:color w:val="888888"/>
          <w:sz w:val="18"/>
          <w:szCs w:val="18"/>
        </w:rPr>
        <w:t xml:space="preserve">END OF TECHNICAL NOTE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Georgia" w:cs="Georgia" w:eastAsia="Georgia" w:hAnsi="Georgia"/>
      <w:b/>
      <w:bCs/>
      <w:color w:val="1A1A2E"/>
      <w:sz w:val="32"/>
      <w:szCs w:val="32"/>
    </w:rPr>
  </w:style>
  <w:style w:type="paragraph" w:styleId="Heading2">
    <w:name w:val="Heading 2"/>
    <w:basedOn w:val="Normal"/>
    <w:next w:val="Normal"/>
    <w:qFormat/>
    <w:pPr>
      <w:spacing w:after="120" w:before="240"/>
      <w:outlineLvl w:val="1"/>
    </w:pPr>
    <w:rPr>
      <w:rFonts w:ascii="Georgia" w:cs="Georgia" w:eastAsia="Georgia" w:hAnsi="Georgia"/>
      <w:b/>
      <w:bCs/>
      <w:color w:val="1A1A2E"/>
      <w:sz w:val="26"/>
      <w:szCs w:val="26"/>
    </w:rPr>
  </w:style>
  <w:style w:type="paragraph" w:styleId="Heading3">
    <w:name w:val="Heading 3"/>
    <w:basedOn w:val="Normal"/>
    <w:next w:val="Normal"/>
    <w:qFormat/>
    <w:pPr>
      <w:spacing w:after="100" w:before="180"/>
      <w:outlineLvl w:val="2"/>
    </w:pPr>
    <w:rPr>
      <w:rFonts w:ascii="Georgia" w:cs="Georgia" w:eastAsia="Georgia" w:hAnsi="Georgia"/>
      <w:b/>
      <w:bCs/>
      <w:color w:val="4444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2026-05-24T17:27:19.637Z</dcterms:created>
  <dcterms:modified xsi:type="dcterms:W3CDTF">2026-05-24T17:27:19.659Z</dcterms:modified>
</cp:coreProperties>
</file>

<file path=docProps/custom.xml><?xml version="1.0" encoding="utf-8"?>
<Properties xmlns="http://schemas.openxmlformats.org/officeDocument/2006/custom-properties" xmlns:vt="http://schemas.openxmlformats.org/officeDocument/2006/docPropsVTypes"/>
</file>