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28"/>
          <w:szCs w:val="28"/>
        </w:rPr>
        <w:t xml:space="preserve">MONO-PROCESS FRAMEWORK</w:t>
      </w:r>
    </w:p>
    <w:p>
      <w:pPr>
        <w:spacing w:after="60" w:before="0"/>
      </w:pPr>
      <w:r>
        <w:rPr>
          <w:rFonts w:ascii="Arial" w:cs="Arial" w:eastAsia="Arial" w:hAnsi="Arial"/>
          <w:i/>
          <w:iCs/>
          <w:color w:val="555555"/>
          <w:sz w:val="22"/>
          <w:szCs w:val="22"/>
        </w:rPr>
        <w:t xml:space="preserve">Theoretical Foundations Series</w:t>
      </w:r>
    </w:p>
    <w:p>
      <w:pPr>
        <w:pBdr>
          <w:bottom w:val="single" w:color="2E75B6" w:sz="4" w:space="1"/>
        </w:pBdr>
        <w:spacing w:after="120" w:before="120"/>
      </w:pPr>
    </w:p>
    <w:p>
      <w:pPr>
        <w:spacing w:after="60" w:before="120"/>
      </w:pPr>
      <w:r>
        <w:rPr>
          <w:rFonts w:ascii="Arial" w:cs="Arial" w:eastAsia="Arial" w:hAnsi="Arial"/>
          <w:b/>
          <w:bCs/>
          <w:color w:val="1F3864"/>
          <w:sz w:val="36"/>
          <w:szCs w:val="36"/>
        </w:rPr>
        <w:t xml:space="preserve">TN_Navigation_and_Minus_i_v01</w:t>
      </w:r>
    </w:p>
    <w:p>
      <w:pPr>
        <w:spacing w:after="60" w:before="0"/>
      </w:pPr>
      <w:r>
        <w:rPr>
          <w:rFonts w:ascii="Arial" w:cs="Arial" w:eastAsia="Arial" w:hAnsi="Arial"/>
          <w:i/>
          <w:iCs/>
          <w:color w:val="2E75B6"/>
          <w:sz w:val="24"/>
          <w:szCs w:val="24"/>
        </w:rPr>
        <w:t xml:space="preserve">Navigation as Orientation-Mediated Transport: Integrating -(i) into the Core Biconditional</w:t>
      </w:r>
    </w:p>
    <w:p>
      <w:pPr>
        <w:spacing w:after="60" w:before="60"/>
      </w:pPr>
      <w:r>
        <w:rPr>
          <w:rFonts w:ascii="Arial" w:cs="Arial" w:eastAsia="Arial" w:hAnsi="Arial"/>
          <w:b/>
          <w:bCs/>
          <w:sz w:val="20"/>
          <w:szCs w:val="20"/>
        </w:rPr>
        <w:t xml:space="preserve">Classification: </w:t>
      </w:r>
      <w:r>
        <w:rPr>
          <w:rFonts w:ascii="Arial" w:cs="Arial" w:eastAsia="Arial" w:hAnsi="Arial"/>
          <w:sz w:val="20"/>
          <w:szCs w:val="20"/>
        </w:rPr>
        <w:t xml:space="preserve">theoretical (Charter v2.3)  ·  </w:t>
      </w:r>
      <w:r>
        <w:rPr>
          <w:rFonts w:ascii="Arial" w:cs="Arial" w:eastAsia="Arial" w:hAnsi="Arial"/>
          <w:sz w:val="20"/>
          <w:szCs w:val="20"/>
        </w:rPr>
        <w:t xml:space="preserve">Date: 2026-05-07  ·  </w:t>
      </w:r>
      <w:r>
        <w:rPr>
          <w:rFonts w:ascii="Arial" w:cs="Arial" w:eastAsia="Arial" w:hAnsi="Arial"/>
          <w:sz w:val="20"/>
          <w:szCs w:val="20"/>
        </w:rPr>
        <w:t xml:space="preserve">Status: Draft — Gap 2 upgraded from Moderate to Strong</w:t>
      </w:r>
    </w:p>
    <w:p>
      <w:pPr>
        <w:pBdr>
          <w:bottom w:val="single" w:color="2E75B6" w:sz="4" w:space="1"/>
        </w:pBdr>
        <w:spacing w:after="120" w:before="120"/>
      </w:pPr>
    </w:p>
    <w:p>
      <w:pPr>
        <w:spacing w:after="0" w:before="0"/>
      </w:pPr>
    </w:p>
    <w:p>
      <w:pPr>
        <w:pStyle w:val="Heading1"/>
        <w:spacing w:after="120" w:before="300"/>
      </w:pPr>
      <w:r>
        <w:rPr>
          <w:rFonts w:ascii="Arial" w:cs="Arial" w:eastAsia="Arial" w:hAnsi="Arial"/>
          <w:b/>
          <w:bCs/>
          <w:sz w:val="32"/>
          <w:szCs w:val="32"/>
        </w:rPr>
        <w:t xml:space="preserve">Abstract</w:t>
      </w:r>
    </w:p>
    <w:p>
      <w:pPr>
        <w:spacing w:after="80" w:before="80"/>
      </w:pPr>
      <w:r>
        <w:rPr>
          <w:rFonts w:ascii="Arial" w:cs="Arial" w:eastAsia="Arial" w:hAnsi="Arial"/>
          <w:sz w:val="22"/>
          <w:szCs w:val="22"/>
        </w:rPr>
        <w:t xml:space="preserve">This note captures insights arising from the integration of the -(i) derivation (Paper 4), the anchored-scale and gravity reformulation, the dominance-ordering framework, and the elimination-of-primitive-time note into the core biconditional cluster. The central result is that Navigation — the Nav_T operator in the core expression — is not an independently defined transport primitive but is constituted by orientation-mediated deviation contribution under mutual -(i) coherence. This upgrades Gap 2 from Moderate to Strong and provides a revised glossary entry for Nav_T. Secondary results address the relationship between the CSI sum and the compressed local continuation form, the role of residue dynamics in anchoring scale, and the structural position of the dominance ordering within the admissibility framework. All results carry Charter v2.3 classification: theoretical.</w:t>
      </w:r>
    </w:p>
    <w:p>
      <w:pPr>
        <w:spacing w:after="0" w:before="0"/>
      </w:pPr>
    </w:p>
    <w:p>
      <w:pPr>
        <w:pStyle w:val="Heading1"/>
        <w:spacing w:after="120" w:before="300"/>
      </w:pPr>
      <w:r>
        <w:rPr>
          <w:rFonts w:ascii="Arial" w:cs="Arial" w:eastAsia="Arial" w:hAnsi="Arial"/>
          <w:b/>
          <w:bCs/>
          <w:sz w:val="32"/>
          <w:szCs w:val="32"/>
        </w:rPr>
        <w:t xml:space="preserve">I.  Context and Document Cluster</w:t>
      </w:r>
    </w:p>
    <w:p>
      <w:pPr>
        <w:spacing w:after="80" w:before="80"/>
      </w:pPr>
      <w:r>
        <w:rPr>
          <w:rFonts w:ascii="Arial" w:cs="Arial" w:eastAsia="Arial" w:hAnsi="Arial"/>
          <w:sz w:val="22"/>
          <w:szCs w:val="22"/>
        </w:rPr>
        <w:t xml:space="preserve">The core biconditional expression:</w:t>
      </w:r>
    </w:p>
    <w:p>
      <w:pPr>
        <w:spacing w:after="100" w:before="100"/>
        <w:ind w:left="720"/>
      </w:pPr>
      <w:r>
        <w:rPr>
          <w:rFonts w:ascii="Courier New" w:cs="Courier New" w:eastAsia="Courier New" w:hAnsi="Courier New"/>
          <w:sz w:val="22"/>
          <w:szCs w:val="22"/>
        </w:rPr>
        <w:t xml:space="preserve">Eα &gt; 0  ⇔_R  x′α = xα + Π_Aα( Σ_{β ∈ CSI(α)} Nav_T(ωα, ωβ) )</w:t>
      </w:r>
    </w:p>
    <w:p>
      <w:pPr>
        <w:spacing w:after="80" w:before="80"/>
      </w:pPr>
      <w:r>
        <w:rPr>
          <w:rFonts w:ascii="Arial" w:cs="Arial" w:eastAsia="Arial" w:hAnsi="Arial"/>
          <w:sz w:val="22"/>
          <w:szCs w:val="22"/>
        </w:rPr>
        <w:t xml:space="preserve">was previously established with Gap 2 (Nav_T transport structure) rated Moderate: the T subscript marked navigated transport but was not given an explicit internal structure. The documents integrated in this note supply that structure from within the framework's own ontological commitments.</w:t>
      </w:r>
    </w:p>
    <w:p>
      <w:pPr>
        <w:spacing w:after="0" w:before="0"/>
      </w:pPr>
    </w:p>
    <w:p>
      <w:pPr>
        <w:spacing w:after="80" w:before="80"/>
      </w:pPr>
      <w:r>
        <w:rPr>
          <w:rFonts w:ascii="Arial" w:cs="Arial" w:eastAsia="Arial" w:hAnsi="Arial"/>
          <w:sz w:val="22"/>
          <w:szCs w:val="22"/>
        </w:rPr>
        <w:t xml:space="preserve">Documents integrated:</w:t>
      </w:r>
    </w:p>
    <w:p>
      <w:pPr>
        <w:pStyle w:val="ListParagraph"/>
        <w:numPr>
          <w:ilvl w:val="0"/>
          <w:numId w:val="2"/>
        </w:numPr>
        <w:spacing w:after="60" w:before="60"/>
      </w:pPr>
      <w:r>
        <w:rPr>
          <w:rFonts w:ascii="Arial" w:cs="Arial" w:eastAsia="Arial" w:hAnsi="Arial"/>
          <w:sz w:val="22"/>
          <w:szCs w:val="22"/>
        </w:rPr>
        <w:t xml:space="preserve">Paper 4 — Deriving Local Reference -(i) from Admissible Mismatch-Minimizing Selection</w:t>
      </w:r>
    </w:p>
    <w:p>
      <w:pPr>
        <w:pStyle w:val="ListParagraph"/>
        <w:numPr>
          <w:ilvl w:val="0"/>
          <w:numId w:val="2"/>
        </w:numPr>
        <w:spacing w:after="60" w:before="60"/>
      </w:pPr>
      <w:r>
        <w:rPr>
          <w:rFonts w:ascii="Arial" w:cs="Arial" w:eastAsia="Arial" w:hAnsi="Arial"/>
          <w:sz w:val="22"/>
          <w:szCs w:val="22"/>
        </w:rPr>
        <w:t xml:space="preserve">Anchored Scale, Orientation-Constrained Evolution, and Gravity in Strict Procedural Monism</w:t>
      </w:r>
    </w:p>
    <w:p>
      <w:pPr>
        <w:pStyle w:val="ListParagraph"/>
        <w:numPr>
          <w:ilvl w:val="0"/>
          <w:numId w:val="2"/>
        </w:numPr>
        <w:spacing w:after="60" w:before="60"/>
      </w:pPr>
      <w:r>
        <w:rPr>
          <w:rFonts w:ascii="Arial" w:cs="Arial" w:eastAsia="Arial" w:hAnsi="Arial"/>
          <w:sz w:val="22"/>
          <w:szCs w:val="22"/>
        </w:rPr>
        <w:t xml:space="preserve">Dominance, -(i) Anchoring, and Dark Phenomena in Strict Procedural Monism</w:t>
      </w:r>
    </w:p>
    <w:p>
      <w:pPr>
        <w:pStyle w:val="ListParagraph"/>
        <w:numPr>
          <w:ilvl w:val="0"/>
          <w:numId w:val="2"/>
        </w:numPr>
        <w:spacing w:after="60" w:before="60"/>
      </w:pPr>
      <w:r>
        <w:rPr>
          <w:rFonts w:ascii="Arial" w:cs="Arial" w:eastAsia="Arial" w:hAnsi="Arial"/>
          <w:sz w:val="22"/>
          <w:szCs w:val="22"/>
        </w:rPr>
        <w:t xml:space="preserve">Orientation-Driven Continuation and the Elimination of Primitive Time</w:t>
      </w:r>
    </w:p>
    <w:p>
      <w:pPr>
        <w:spacing w:after="0" w:before="0"/>
      </w:pPr>
    </w:p>
    <w:p>
      <w:pPr>
        <w:pStyle w:val="Heading1"/>
        <w:spacing w:after="120" w:before="300"/>
      </w:pPr>
      <w:r>
        <w:rPr>
          <w:rFonts w:ascii="Arial" w:cs="Arial" w:eastAsia="Arial" w:hAnsi="Arial"/>
          <w:b/>
          <w:bCs/>
          <w:sz w:val="32"/>
          <w:szCs w:val="32"/>
        </w:rPr>
        <w:t xml:space="preserve">II.  The -(i) Derivation and Its Consequences for Nav_T</w:t>
      </w:r>
    </w:p>
    <w:p>
      <w:pPr>
        <w:pStyle w:val="Heading2"/>
        <w:spacing w:after="100" w:before="240"/>
      </w:pPr>
      <w:r>
        <w:rPr>
          <w:rFonts w:ascii="Arial" w:cs="Arial" w:eastAsia="Arial" w:hAnsi="Arial"/>
          <w:b/>
          <w:bCs/>
          <w:sz w:val="26"/>
          <w:szCs w:val="26"/>
        </w:rPr>
        <w:t xml:space="preserve">II.1  What Paper 4 Establishes</w:t>
      </w:r>
    </w:p>
    <w:p>
      <w:pPr>
        <w:spacing w:after="80" w:before="80"/>
      </w:pPr>
      <w:r>
        <w:rPr>
          <w:rFonts w:ascii="Arial" w:cs="Arial" w:eastAsia="Arial" w:hAnsi="Arial"/>
          <w:sz w:val="22"/>
          <w:szCs w:val="22"/>
        </w:rPr>
        <w:t xml:space="preserve">Paper 4 derives -(i) from within the framework rather than introducing it as a primitive. The derivation proceeds in two stages. First, an admissible operator O* is selected by minimizing relational mismatch cost over the local admissible operator family:</w:t>
      </w:r>
    </w:p>
    <w:p>
      <w:pPr>
        <w:spacing w:after="100" w:before="100"/>
        <w:ind w:left="720"/>
      </w:pPr>
      <w:r>
        <w:rPr>
          <w:rFonts w:ascii="Courier New" w:cs="Courier New" w:eastAsia="Courier New" w:hAnsi="Courier New"/>
          <w:sz w:val="22"/>
          <w:szCs w:val="22"/>
        </w:rPr>
        <w:t xml:space="preserve">O*(x,t) ∈ argmin_{O ∈ O_adm(x,t)} μ_rel( O · ε(x,t) )</w:t>
      </w:r>
    </w:p>
    <w:p>
      <w:pPr>
        <w:spacing w:after="80" w:before="80"/>
      </w:pPr>
      <w:r>
        <w:rPr>
          <w:rFonts w:ascii="Arial" w:cs="Arial" w:eastAsia="Arial" w:hAnsi="Arial"/>
          <w:sz w:val="22"/>
          <w:szCs w:val="22"/>
        </w:rPr>
        <w:t xml:space="preserve">Second, the local reference -(i) is defined as the reference induced by that selection:</w:t>
      </w:r>
    </w:p>
    <w:p>
      <w:pPr>
        <w:spacing w:after="100" w:before="100"/>
        <w:ind w:left="720"/>
      </w:pPr>
      <w:r>
        <w:rPr>
          <w:rFonts w:ascii="Courier New" w:cs="Courier New" w:eastAsia="Courier New" w:hAnsi="Courier New"/>
          <w:sz w:val="22"/>
          <w:szCs w:val="22"/>
        </w:rPr>
        <w:t xml:space="preserve">-(i)(x,t) := Ref( O*(x,t) · ε(x,t) )</w:t>
      </w:r>
    </w:p>
    <w:p>
      <w:pPr>
        <w:spacing w:after="80" w:before="80"/>
      </w:pPr>
      <w:r>
        <w:rPr>
          <w:rFonts w:ascii="Arial" w:cs="Arial" w:eastAsia="Arial" w:hAnsi="Arial"/>
          <w:sz w:val="22"/>
          <w:szCs w:val="22"/>
        </w:rPr>
        <w:t xml:space="preserve">This means -(i) is not a coordinate axis, not a globally fixed reference, and not a primitive input to the core expression. It is the output of a selection process that depends on local mismatch and the local admissible operator set. The canonical expression uses ωα as a placeholder for this derived quantity pending the full derivation.</w:t>
      </w:r>
    </w:p>
    <w:p>
      <w:pPr>
        <w:spacing w:after="0" w:before="0"/>
      </w:pPr>
    </w:p>
    <w:p>
      <w:pPr>
        <w:pStyle w:val="Heading2"/>
        <w:spacing w:after="100" w:before="240"/>
      </w:pPr>
      <w:r>
        <w:rPr>
          <w:rFonts w:ascii="Arial" w:cs="Arial" w:eastAsia="Arial" w:hAnsi="Arial"/>
          <w:b/>
          <w:bCs/>
          <w:sz w:val="26"/>
          <w:szCs w:val="26"/>
        </w:rPr>
        <w:t xml:space="preserve">II.2  The ω / -(i) Placeholder Resolution</w:t>
      </w:r>
    </w:p>
    <w:p>
      <w:pPr>
        <w:spacing w:after="80" w:before="80"/>
      </w:pPr>
      <w:r>
        <w:rPr>
          <w:rFonts w:ascii="Arial" w:cs="Arial" w:eastAsia="Arial" w:hAnsi="Arial"/>
          <w:sz w:val="22"/>
          <w:szCs w:val="22"/>
        </w:rPr>
        <w:t xml:space="preserve">The canonical expression uses ωα, ωβ as phase-state descriptors input to Nav_T. Paper 4 clarifies the staged relationship:</w:t>
      </w:r>
    </w:p>
    <w:p>
      <w:pPr>
        <w:pStyle w:val="ListParagraph"/>
        <w:numPr>
          <w:ilvl w:val="0"/>
          <w:numId w:val="2"/>
        </w:numPr>
        <w:spacing w:after="60" w:before="60"/>
      </w:pPr>
      <w:r>
        <w:rPr>
          <w:rFonts w:ascii="Arial" w:cs="Arial" w:eastAsia="Arial" w:hAnsi="Arial"/>
          <w:sz w:val="22"/>
          <w:szCs w:val="22"/>
        </w:rPr>
        <w:t xml:space="preserve">ωα is the phase-state descriptor before selection has acted.</w:t>
      </w:r>
    </w:p>
    <w:p>
      <w:pPr>
        <w:pStyle w:val="ListParagraph"/>
        <w:numPr>
          <w:ilvl w:val="0"/>
          <w:numId w:val="2"/>
        </w:numPr>
        <w:spacing w:after="60" w:before="60"/>
      </w:pPr>
      <w:r>
        <w:rPr>
          <w:rFonts w:ascii="Arial" w:cs="Arial" w:eastAsia="Arial" w:hAnsi="Arial"/>
          <w:sz w:val="22"/>
          <w:szCs w:val="22"/>
        </w:rPr>
        <w:t xml:space="preserve">O* acts on ωα (as ε) to produce the admissible orientation.</w:t>
      </w:r>
    </w:p>
    <w:p>
      <w:pPr>
        <w:pStyle w:val="ListParagraph"/>
        <w:numPr>
          <w:ilvl w:val="0"/>
          <w:numId w:val="2"/>
        </w:numPr>
        <w:spacing w:after="60" w:before="60"/>
      </w:pPr>
      <w:r>
        <w:rPr>
          <w:rFonts w:ascii="Arial" w:cs="Arial" w:eastAsia="Arial" w:hAnsi="Arial"/>
          <w:sz w:val="22"/>
          <w:szCs w:val="22"/>
        </w:rPr>
        <w:t xml:space="preserve">-(i)α is the induced local reference after O* has acted.</w:t>
      </w:r>
    </w:p>
    <w:p>
      <w:pPr>
        <w:pStyle w:val="ListParagraph"/>
        <w:numPr>
          <w:ilvl w:val="0"/>
          <w:numId w:val="2"/>
        </w:numPr>
        <w:spacing w:after="60" w:before="60"/>
      </w:pPr>
      <w:r>
        <w:rPr>
          <w:rFonts w:ascii="Arial" w:cs="Arial" w:eastAsia="Arial" w:hAnsi="Arial"/>
          <w:sz w:val="22"/>
          <w:szCs w:val="22"/>
        </w:rPr>
        <w:t xml:space="preserve">Transport uses -(i)α and -(i)β once selection is defined; ω is the pre-selection placeholder.</w:t>
      </w:r>
    </w:p>
    <w:p>
      <w:pPr>
        <w:spacing w:after="0" w:before="0"/>
      </w:pPr>
    </w:p>
    <w:p>
      <w:pPr>
        <w:spacing w:after="80" w:before="80"/>
      </w:pPr>
      <w:r>
        <w:rPr>
          <w:rFonts w:ascii="Arial" w:cs="Arial" w:eastAsia="Arial" w:hAnsi="Arial"/>
          <w:sz w:val="22"/>
          <w:szCs w:val="22"/>
        </w:rPr>
        <w:t xml:space="preserve">The notation unification table in TN_CoreBiconditional records this: Nav_T(ωα, ωβ) is a placeholder for Nav_T(-(i)α, -(i)β) once O* is defined. Paper 4 supplies the O* definition, so the placeholder is now resolvable.</w:t>
      </w:r>
    </w:p>
    <w:p>
      <w:pPr>
        <w:spacing w:after="0" w:before="0"/>
      </w:pPr>
    </w:p>
    <w:p>
      <w:pPr>
        <w:pStyle w:val="Heading1"/>
        <w:spacing w:after="120" w:before="300"/>
      </w:pPr>
      <w:r>
        <w:rPr>
          <w:rFonts w:ascii="Arial" w:cs="Arial" w:eastAsia="Arial" w:hAnsi="Arial"/>
          <w:b/>
          <w:bCs/>
          <w:sz w:val="32"/>
          <w:szCs w:val="32"/>
        </w:rPr>
        <w:t xml:space="preserve">III.  Gap 2 Upgrade: Nav_T Transport Structure</w:t>
      </w:r>
    </w:p>
    <w:p>
      <w:pPr>
        <w:pStyle w:val="Heading2"/>
        <w:spacing w:after="100" w:before="240"/>
      </w:pPr>
      <w:r>
        <w:rPr>
          <w:rFonts w:ascii="Arial" w:cs="Arial" w:eastAsia="Arial" w:hAnsi="Arial"/>
          <w:b/>
          <w:bCs/>
          <w:sz w:val="26"/>
          <w:szCs w:val="26"/>
        </w:rPr>
        <w:t xml:space="preserve">III.1  Prior Status</w:t>
      </w:r>
    </w:p>
    <w:p>
      <w:pPr>
        <w:spacing w:after="80" w:before="80"/>
      </w:pPr>
      <w:r>
        <w:rPr>
          <w:rFonts w:ascii="Arial" w:cs="Arial" w:eastAsia="Arial" w:hAnsi="Arial"/>
          <w:sz w:val="22"/>
          <w:szCs w:val="22"/>
        </w:rPr>
        <w:t xml:space="preserve">Gap 2 was rated Moderate in TN_MLaw_Derivation_v01 and TN_CoreBiconditional_and_MLaws_v01. The T subscript on Nav_T was acknowledged as necessary for M8 (Deviation Propagation Law) to follow, but T was not defined. The candidate definition offered was:</w:t>
      </w:r>
    </w:p>
    <w:p>
      <w:pPr>
        <w:spacing w:after="100" w:before="100"/>
        <w:ind w:left="720"/>
      </w:pPr>
      <w:r>
        <w:rPr>
          <w:rFonts w:ascii="Courier New" w:cs="Courier New" w:eastAsia="Courier New" w:hAnsi="Courier New"/>
          <w:sz w:val="22"/>
          <w:szCs w:val="22"/>
        </w:rPr>
        <w:t xml:space="preserve">Nav_T(ωα, ωβ) := P_T[ (ωα − ωβ) ⊗ R_{αβ} ]</w:t>
      </w:r>
    </w:p>
    <w:p>
      <w:pPr>
        <w:spacing w:after="80" w:before="80"/>
      </w:pPr>
      <w:r>
        <w:rPr>
          <w:rFonts w:ascii="Arial" w:cs="Arial" w:eastAsia="Arial" w:hAnsi="Arial"/>
          <w:sz w:val="22"/>
          <w:szCs w:val="22"/>
        </w:rPr>
        <w:t xml:space="preserve">where P_T was described as parallel transport along a residue connection R_{αβ}. This candidate imported differential geometry machinery (parallel transport, connection) that is not grounded in the framework's own primitives. R_{αβ} was named but not constructed.</w:t>
      </w:r>
    </w:p>
    <w:p>
      <w:pPr>
        <w:spacing w:after="0" w:before="0"/>
      </w:pPr>
    </w:p>
    <w:p>
      <w:pPr>
        <w:pStyle w:val="Heading2"/>
        <w:spacing w:after="100" w:before="240"/>
      </w:pPr>
      <w:r>
        <w:rPr>
          <w:rFonts w:ascii="Arial" w:cs="Arial" w:eastAsia="Arial" w:hAnsi="Arial"/>
          <w:b/>
          <w:bCs/>
          <w:sz w:val="26"/>
          <w:szCs w:val="26"/>
        </w:rPr>
        <w:t xml:space="preserve">III.2  Revised Definition</w:t>
      </w:r>
    </w:p>
    <w:p>
      <w:pPr>
        <w:spacing w:after="80" w:before="80"/>
      </w:pPr>
      <w:r>
        <w:rPr>
          <w:rFonts w:ascii="Arial" w:cs="Arial" w:eastAsia="Arial" w:hAnsi="Arial"/>
          <w:sz w:val="22"/>
          <w:szCs w:val="22"/>
        </w:rPr>
        <w:t xml:space="preserve">The -(i) derivation provides a better-grounded definition that derives T from the framework's own ontological commitments rather than importing it from differential geometry.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sz w:val="22"/>
                <w:szCs w:val="22"/>
              </w:rPr>
              <w:t xml:space="preserve">REVISED DEFINITION — Nav_T</w:t>
            </w:r>
          </w:p>
          <w:p>
            <w:pPr>
              <w:spacing w:after="40" w:before="40"/>
            </w:pPr>
            <w:r>
              <w:rPr>
                <w:rFonts w:ascii="Arial" w:cs="Arial" w:eastAsia="Arial" w:hAnsi="Arial"/>
                <w:sz w:val="22"/>
                <w:szCs w:val="22"/>
              </w:rPr>
              <w:t xml:space="preserve">Nav_T(ωα, ωβ) is the deviation contribution of process β to process α's update, mediated by the mutual coherence of their orientation references -(i)α and -(i)β under current residue R. The transport structure T is constituted by the stability of that mutual -(i) alignment, not by a separately imported geometric object.</w:t>
            </w:r>
          </w:p>
        </w:tc>
      </w:tr>
    </w:tbl>
    <w:p>
      <w:pPr>
        <w:spacing w:after="0" w:before="0"/>
      </w:pPr>
    </w:p>
    <w:p>
      <w:pPr>
        <w:spacing w:after="80" w:before="80"/>
      </w:pPr>
      <w:r>
        <w:rPr>
          <w:rFonts w:ascii="Arial" w:cs="Arial" w:eastAsia="Arial" w:hAnsi="Arial"/>
          <w:sz w:val="22"/>
          <w:szCs w:val="22"/>
        </w:rPr>
        <w:t xml:space="preserve">Formally:</w:t>
      </w:r>
    </w:p>
    <w:p>
      <w:pPr>
        <w:spacing w:after="100" w:before="100"/>
        <w:ind w:left="720"/>
      </w:pPr>
      <w:r>
        <w:rPr>
          <w:rFonts w:ascii="Courier New" w:cs="Courier New" w:eastAsia="Courier New" w:hAnsi="Courier New"/>
          <w:sz w:val="22"/>
          <w:szCs w:val="22"/>
        </w:rPr>
        <w:t xml:space="preserve">Nav_T(ωα, ωβ) := Dev_β→α[ -(i)α, -(i)β, R ]</w:t>
      </w:r>
    </w:p>
    <w:p>
      <w:pPr>
        <w:spacing w:after="80" w:before="80"/>
      </w:pPr>
      <w:r>
        <w:rPr>
          <w:rFonts w:ascii="Arial" w:cs="Arial" w:eastAsia="Arial" w:hAnsi="Arial"/>
          <w:sz w:val="22"/>
          <w:szCs w:val="22"/>
        </w:rPr>
        <w:t xml:space="preserve">where Dev_β→α is the deviation contribution function that takes the two locally induced orientation references and the shared residue state. The transport is residue-conditioned because -(i) is residue-conditioned: O* acts on (ε, R), so -(i) = Ref(O* · ε) inherits R-dependence. No external connection structure is required.</w:t>
      </w:r>
    </w:p>
    <w:p>
      <w:pPr>
        <w:spacing w:after="0" w:before="0"/>
      </w:pPr>
    </w:p>
    <w:p>
      <w:pPr>
        <w:pStyle w:val="Heading2"/>
        <w:spacing w:after="100" w:before="240"/>
      </w:pPr>
      <w:r>
        <w:rPr>
          <w:rFonts w:ascii="Arial" w:cs="Arial" w:eastAsia="Arial" w:hAnsi="Arial"/>
          <w:b/>
          <w:bCs/>
          <w:sz w:val="26"/>
          <w:szCs w:val="26"/>
        </w:rPr>
        <w:t xml:space="preserve">III.3  Why This Is Better-Grounded</w:t>
      </w:r>
    </w:p>
    <w:p>
      <w:pPr>
        <w:spacing w:after="80" w:before="80"/>
      </w:pPr>
      <w:r>
        <w:rPr>
          <w:rFonts w:ascii="Arial" w:cs="Arial" w:eastAsia="Arial" w:hAnsi="Arial"/>
          <w:sz w:val="22"/>
          <w:szCs w:val="22"/>
        </w:rPr>
        <w:t xml:space="preserve">The prior parallel transport candidate was residue-conditioned in name only: R_{αβ} was asserted to be a residue connection without derivation. The revised definition makes the R-dependence explicit and derived:</w:t>
      </w:r>
    </w:p>
    <w:p>
      <w:pPr>
        <w:pStyle w:val="ListParagraph"/>
        <w:numPr>
          <w:ilvl w:val="0"/>
          <w:numId w:val="2"/>
        </w:numPr>
        <w:spacing w:after="60" w:before="60"/>
      </w:pPr>
      <w:r>
        <w:rPr>
          <w:rFonts w:ascii="Arial" w:cs="Arial" w:eastAsia="Arial" w:hAnsi="Arial"/>
          <w:sz w:val="22"/>
          <w:szCs w:val="22"/>
        </w:rPr>
        <w:t xml:space="preserve">-(i)α = Ref(O*(xα, t) · εα) with O* selected under O_adm(εα, Rα).</w:t>
      </w:r>
    </w:p>
    <w:p>
      <w:pPr>
        <w:pStyle w:val="ListParagraph"/>
        <w:numPr>
          <w:ilvl w:val="0"/>
          <w:numId w:val="2"/>
        </w:numPr>
        <w:spacing w:after="60" w:before="60"/>
      </w:pPr>
      <w:r>
        <w:rPr>
          <w:rFonts w:ascii="Arial" w:cs="Arial" w:eastAsia="Arial" w:hAnsi="Arial"/>
          <w:sz w:val="22"/>
          <w:szCs w:val="22"/>
        </w:rPr>
        <w:t xml:space="preserve">-(i)β = Ref(O*(xβ, t) · εβ) with O* selected under O_adm(εβ, Rβ).</w:t>
      </w:r>
    </w:p>
    <w:p>
      <w:pPr>
        <w:pStyle w:val="ListParagraph"/>
        <w:numPr>
          <w:ilvl w:val="0"/>
          <w:numId w:val="2"/>
        </w:numPr>
        <w:spacing w:after="60" w:before="60"/>
      </w:pPr>
      <w:r>
        <w:rPr>
          <w:rFonts w:ascii="Arial" w:cs="Arial" w:eastAsia="Arial" w:hAnsi="Arial"/>
          <w:sz w:val="22"/>
          <w:szCs w:val="22"/>
        </w:rPr>
        <w:t xml:space="preserve">Nav_T inherits R-dependence from both -(i) references — no external connection needed.</w:t>
      </w:r>
    </w:p>
    <w:p>
      <w:pPr>
        <w:pStyle w:val="ListParagraph"/>
        <w:numPr>
          <w:ilvl w:val="0"/>
          <w:numId w:val="2"/>
        </w:numPr>
        <w:spacing w:after="60" w:before="60"/>
      </w:pPr>
      <w:r>
        <w:rPr>
          <w:rFonts w:ascii="Arial" w:cs="Arial" w:eastAsia="Arial" w:hAnsi="Arial"/>
          <w:sz w:val="22"/>
          <w:szCs w:val="22"/>
        </w:rPr>
        <w:t xml:space="preserve">The transport frame T is the mutual alignment structure of -(i)α and -(i)β under R.</w:t>
      </w:r>
    </w:p>
    <w:p>
      <w:pPr>
        <w:spacing w:after="0" w:before="0"/>
      </w:pPr>
    </w:p>
    <w:p>
      <w:pPr>
        <w:pStyle w:val="Heading2"/>
        <w:spacing w:after="100" w:before="240"/>
      </w:pPr>
      <w:r>
        <w:rPr>
          <w:rFonts w:ascii="Arial" w:cs="Arial" w:eastAsia="Arial" w:hAnsi="Arial"/>
          <w:b/>
          <w:bCs/>
          <w:sz w:val="26"/>
          <w:szCs w:val="26"/>
        </w:rPr>
        <w:t xml:space="preserve">III.4  M8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before="40"/>
            </w:pPr>
            <w:r>
              <w:rPr>
                <w:rFonts w:ascii="Arial" w:cs="Arial" w:eastAsia="Arial" w:hAnsi="Arial"/>
                <w:b/>
                <w:bCs/>
                <w:sz w:val="22"/>
                <w:szCs w:val="22"/>
              </w:rPr>
              <w:t xml:space="preserve">GAP 2 STATUS: Moderate → Strong</w:t>
            </w:r>
          </w:p>
          <w:p>
            <w:pPr>
              <w:spacing w:after="40" w:before="40"/>
            </w:pPr>
            <w:r>
              <w:rPr>
                <w:rFonts w:ascii="Arial" w:cs="Arial" w:eastAsia="Arial" w:hAnsi="Arial"/>
                <w:sz w:val="22"/>
                <w:szCs w:val="22"/>
              </w:rPr>
              <w:t xml:space="preserve">M8 (Deviation Propagation Law) is now strongly supported. Nav_T is residue-conditioned because -(i) is residue-conditioned by construction. Deviation propagation depends on shared residue history through the -(i) selection mechanism, not through an asserted external connection. Gap 2 does not reach Perfect because μ_rel and the full operator algebra (L, Q) remain to be hardened, but the structural role of T is now derived rather than asserted.</w:t>
            </w:r>
          </w:p>
        </w:tc>
      </w:tr>
    </w:tbl>
    <w:p>
      <w:pPr>
        <w:spacing w:after="0" w:before="0"/>
      </w:pPr>
    </w:p>
    <w:p>
      <w:pPr>
        <w:pStyle w:val="Heading1"/>
        <w:spacing w:after="120" w:before="300"/>
      </w:pPr>
      <w:r>
        <w:rPr>
          <w:rFonts w:ascii="Arial" w:cs="Arial" w:eastAsia="Arial" w:hAnsi="Arial"/>
          <w:b/>
          <w:bCs/>
          <w:sz w:val="32"/>
          <w:szCs w:val="32"/>
        </w:rPr>
        <w:t xml:space="preserve">IV.  CSI Sum and the Compressed Continuation Form</w:t>
      </w:r>
    </w:p>
    <w:p>
      <w:pPr>
        <w:pStyle w:val="Heading2"/>
        <w:spacing w:after="100" w:before="240"/>
      </w:pPr>
      <w:r>
        <w:rPr>
          <w:rFonts w:ascii="Arial" w:cs="Arial" w:eastAsia="Arial" w:hAnsi="Arial"/>
          <w:b/>
          <w:bCs/>
          <w:sz w:val="26"/>
          <w:szCs w:val="26"/>
        </w:rPr>
        <w:t xml:space="preserve">IV.1  Two Compatible Expressions</w:t>
      </w:r>
    </w:p>
    <w:p>
      <w:pPr>
        <w:spacing w:after="80" w:before="80"/>
      </w:pPr>
      <w:r>
        <w:rPr>
          <w:rFonts w:ascii="Arial" w:cs="Arial" w:eastAsia="Arial" w:hAnsi="Arial"/>
          <w:sz w:val="22"/>
          <w:szCs w:val="22"/>
        </w:rPr>
        <w:t xml:space="preserve">The Orientation-Driven Continuation note gives a local continuation law in compressed form:</w:t>
      </w:r>
    </w:p>
    <w:p>
      <w:pPr>
        <w:spacing w:after="100" w:before="100"/>
        <w:ind w:left="720"/>
      </w:pPr>
      <w:r>
        <w:rPr>
          <w:rFonts w:ascii="Courier New" w:cs="Courier New" w:eastAsia="Courier New" w:hAnsi="Courier New"/>
          <w:sz w:val="22"/>
          <w:szCs w:val="22"/>
        </w:rPr>
        <w:t xml:space="preserve">x′α = xα + Π_Aα( -(i)α[εα, Rα] )</w:t>
      </w:r>
    </w:p>
    <w:p>
      <w:pPr>
        <w:spacing w:after="80" w:before="80"/>
      </w:pPr>
      <w:r>
        <w:rPr>
          <w:rFonts w:ascii="Arial" w:cs="Arial" w:eastAsia="Arial" w:hAnsi="Arial"/>
          <w:sz w:val="22"/>
          <w:szCs w:val="22"/>
        </w:rPr>
        <w:t xml:space="preserve">The core expression has the multi-process form:</w:t>
      </w:r>
    </w:p>
    <w:p>
      <w:pPr>
        <w:spacing w:after="100" w:before="100"/>
        <w:ind w:left="720"/>
      </w:pPr>
      <w:r>
        <w:rPr>
          <w:rFonts w:ascii="Courier New" w:cs="Courier New" w:eastAsia="Courier New" w:hAnsi="Courier New"/>
          <w:sz w:val="22"/>
          <w:szCs w:val="22"/>
        </w:rPr>
        <w:t xml:space="preserve">x′α = xα + Π_Aα( Σ_{β ∈ CSI(α)} Nav_T(ωα, ωβ) )</w:t>
      </w:r>
    </w:p>
    <w:p>
      <w:pPr>
        <w:spacing w:after="80" w:before="80"/>
      </w:pPr>
      <w:r>
        <w:rPr>
          <w:rFonts w:ascii="Arial" w:cs="Arial" w:eastAsia="Arial" w:hAnsi="Arial"/>
          <w:sz w:val="22"/>
          <w:szCs w:val="22"/>
        </w:rPr>
        <w:t xml:space="preserve">These are not contradictory. The compressed form absorbs the CSI sum into the output of -(i)α. The multi-process form makes the relational structure explicit: continuation is driven by deviation contributions from coupled processes, not just by internal orientation alone.</w:t>
      </w:r>
    </w:p>
    <w:p>
      <w:pPr>
        <w:spacing w:after="0" w:before="0"/>
      </w:pPr>
    </w:p>
    <w:p>
      <w:pPr>
        <w:pStyle w:val="Heading2"/>
        <w:spacing w:after="100" w:before="240"/>
      </w:pPr>
      <w:r>
        <w:rPr>
          <w:rFonts w:ascii="Arial" w:cs="Arial" w:eastAsia="Arial" w:hAnsi="Arial"/>
          <w:b/>
          <w:bCs/>
          <w:sz w:val="26"/>
          <w:szCs w:val="26"/>
        </w:rPr>
        <w:t xml:space="preserve">IV.2  Why the CSI Form Must Be Preserved</w:t>
      </w:r>
    </w:p>
    <w:p>
      <w:pPr>
        <w:spacing w:after="80" w:before="80"/>
      </w:pPr>
      <w:r>
        <w:rPr>
          <w:rFonts w:ascii="Arial" w:cs="Arial" w:eastAsia="Arial" w:hAnsi="Arial"/>
          <w:sz w:val="22"/>
          <w:szCs w:val="22"/>
        </w:rPr>
        <w:t xml:space="preserve">The compressed form risks obscuring the framework's genuinely relational character. Three structural features require the explicit CSI sum:</w:t>
      </w:r>
    </w:p>
    <w:p>
      <w:pPr>
        <w:pStyle w:val="ListParagraph"/>
        <w:numPr>
          <w:ilvl w:val="0"/>
          <w:numId w:val="2"/>
        </w:numPr>
        <w:spacing w:after="60" w:before="60"/>
      </w:pPr>
      <w:r>
        <w:rPr>
          <w:rFonts w:ascii="Arial" w:cs="Arial" w:eastAsia="Arial" w:hAnsi="Arial"/>
          <w:sz w:val="22"/>
          <w:szCs w:val="22"/>
        </w:rPr>
        <w:t xml:space="preserve">CSI formation (Gap 3 / M10): coupling is constituted by admissibility overlap between α and β, making interaction topology a derived quantity. This cannot be expressed in the compressed form.</w:t>
      </w:r>
    </w:p>
    <w:p>
      <w:pPr>
        <w:pStyle w:val="ListParagraph"/>
        <w:numPr>
          <w:ilvl w:val="0"/>
          <w:numId w:val="2"/>
        </w:numPr>
        <w:spacing w:after="60" w:before="60"/>
      </w:pPr>
      <w:r>
        <w:rPr>
          <w:rFonts w:ascii="Arial" w:cs="Arial" w:eastAsia="Arial" w:hAnsi="Arial"/>
          <w:sz w:val="22"/>
          <w:szCs w:val="22"/>
        </w:rPr>
        <w:t xml:space="preserve">Non-Markov structure: Rαβ (shared residue between α and β) conditions which β are in CSI(α). The CSI sum makes this path-dependence visible.</w:t>
      </w:r>
    </w:p>
    <w:p>
      <w:pPr>
        <w:pStyle w:val="ListParagraph"/>
        <w:numPr>
          <w:ilvl w:val="0"/>
          <w:numId w:val="2"/>
        </w:numPr>
        <w:spacing w:after="60" w:before="60"/>
      </w:pPr>
      <w:r>
        <w:rPr>
          <w:rFonts w:ascii="Arial" w:cs="Arial" w:eastAsia="Arial" w:hAnsi="Arial"/>
          <w:sz w:val="22"/>
          <w:szCs w:val="22"/>
        </w:rPr>
        <w:t xml:space="preserve">Distinguishable mismatch (M3): Nav_T(ωα, ωβ) ≠ 0 iff ωα ≠ ωβ. The sum is the total structured mismatch input from coupled processes. Compression hides this structure.</w:t>
      </w:r>
    </w:p>
    <w:p>
      <w:pPr>
        <w:spacing w:after="0" w:before="0"/>
      </w:pPr>
    </w:p>
    <w:p>
      <w:pPr>
        <w:spacing w:after="80" w:before="80"/>
      </w:pPr>
      <w:r>
        <w:rPr>
          <w:rFonts w:ascii="Arial" w:cs="Arial" w:eastAsia="Arial" w:hAnsi="Arial"/>
          <w:sz w:val="22"/>
          <w:szCs w:val="22"/>
        </w:rPr>
        <w:t xml:space="preserve">The compressed form is appropriate for single-process descriptions or for the orientation array formalism (global structure I = {-(i)α}). The core expression requires the CSI form for formal completeness.</w:t>
      </w:r>
    </w:p>
    <w:p>
      <w:pPr>
        <w:spacing w:after="0" w:before="0"/>
      </w:pPr>
    </w:p>
    <w:p>
      <w:pPr>
        <w:pStyle w:val="Heading1"/>
        <w:spacing w:after="120" w:before="300"/>
      </w:pPr>
      <w:r>
        <w:rPr>
          <w:rFonts w:ascii="Arial" w:cs="Arial" w:eastAsia="Arial" w:hAnsi="Arial"/>
          <w:b/>
          <w:bCs/>
          <w:sz w:val="32"/>
          <w:szCs w:val="32"/>
        </w:rPr>
        <w:t xml:space="preserve">V.  Anchored Scale and Its Relation to Residue Dynamics</w:t>
      </w:r>
    </w:p>
    <w:p>
      <w:pPr>
        <w:pStyle w:val="Heading2"/>
        <w:spacing w:after="100" w:before="240"/>
      </w:pPr>
      <w:r>
        <w:rPr>
          <w:rFonts w:ascii="Arial" w:cs="Arial" w:eastAsia="Arial" w:hAnsi="Arial"/>
          <w:b/>
          <w:bCs/>
          <w:sz w:val="26"/>
          <w:szCs w:val="26"/>
        </w:rPr>
        <w:t xml:space="preserve">V.1  Scale Cannot Be Primitive</w:t>
      </w:r>
    </w:p>
    <w:p>
      <w:pPr>
        <w:spacing w:after="80" w:before="80"/>
      </w:pPr>
      <w:r>
        <w:rPr>
          <w:rFonts w:ascii="Arial" w:cs="Arial" w:eastAsia="Arial" w:hAnsi="Arial"/>
          <w:sz w:val="22"/>
          <w:szCs w:val="22"/>
        </w:rPr>
        <w:t xml:space="preserve">The anchored-scale paper establishes that scale has procedural meaning only when measured relative to the locally stabilized orientation operator -(i). The proposed anchored scale for a candidate continuation y is:</w:t>
      </w:r>
    </w:p>
    <w:p>
      <w:pPr>
        <w:spacing w:after="100" w:before="100"/>
        <w:ind w:left="720"/>
      </w:pPr>
      <w:r>
        <w:rPr>
          <w:rFonts w:ascii="Courier New" w:cs="Courier New" w:eastAsia="Courier New" w:hAnsi="Courier New"/>
          <w:sz w:val="22"/>
          <w:szCs w:val="22"/>
        </w:rPr>
        <w:t xml:space="preserve">σ(y) := d(ε(y), ω_t)   where ω_t = O[ε_t, R_t]</w:t>
      </w:r>
    </w:p>
    <w:p>
      <w:pPr>
        <w:spacing w:after="80" w:before="80"/>
      </w:pPr>
      <w:r>
        <w:rPr>
          <w:rFonts w:ascii="Arial" w:cs="Arial" w:eastAsia="Arial" w:hAnsi="Arial"/>
          <w:sz w:val="22"/>
          <w:szCs w:val="22"/>
        </w:rPr>
        <w:t xml:space="preserve">This is consistent with the core expression's treatment of -(i) as residue-conditioned: scale is anchored to an orientation that is itself shaped by residue history. A 'large' continuation means one whose mismatch persists broadly relative to the local -(i) basin, not one that occupies a large region of a background metric.</w:t>
      </w:r>
    </w:p>
    <w:p>
      <w:pPr>
        <w:spacing w:after="0" w:before="0"/>
      </w:pPr>
    </w:p>
    <w:p>
      <w:pPr>
        <w:pStyle w:val="Heading2"/>
        <w:spacing w:after="100" w:before="240"/>
      </w:pPr>
      <w:r>
        <w:rPr>
          <w:rFonts w:ascii="Arial" w:cs="Arial" w:eastAsia="Arial" w:hAnsi="Arial"/>
          <w:b/>
          <w:bCs/>
          <w:sz w:val="26"/>
          <w:szCs w:val="26"/>
        </w:rPr>
        <w:t xml:space="preserve">V.2  Connection to Residue Dynamics</w:t>
      </w:r>
    </w:p>
    <w:p>
      <w:pPr>
        <w:spacing w:after="80" w:before="80"/>
      </w:pPr>
      <w:r>
        <w:rPr>
          <w:rFonts w:ascii="Arial" w:cs="Arial" w:eastAsia="Arial" w:hAnsi="Arial"/>
          <w:sz w:val="22"/>
          <w:szCs w:val="22"/>
        </w:rPr>
        <w:t xml:space="preserve">The residue dynamics equation — registered in TN_CoreBiconditional as supporting M1 and M6 — is also the mechanism behind anchored scale persistence:</w:t>
      </w:r>
    </w:p>
    <w:p>
      <w:pPr>
        <w:spacing w:after="100" w:before="100"/>
        <w:ind w:left="720"/>
      </w:pPr>
      <w:r>
        <w:rPr>
          <w:rFonts w:ascii="Courier New" w:cs="Courier New" w:eastAsia="Courier New" w:hAnsi="Courier New"/>
          <w:sz w:val="22"/>
          <w:szCs w:val="22"/>
        </w:rPr>
        <w:t xml:space="preserve">R_{t+1} = R_t + κ · Π_Aα(Σ Nav_T) − λ · R_t</w:t>
      </w:r>
    </w:p>
    <w:p>
      <w:pPr>
        <w:spacing w:after="80" w:before="80"/>
      </w:pPr>
      <w:r>
        <w:rPr>
          <w:rFonts w:ascii="Arial" w:cs="Arial" w:eastAsia="Arial" w:hAnsi="Arial"/>
          <w:sz w:val="22"/>
          <w:szCs w:val="22"/>
        </w:rPr>
        <w:t xml:space="preserve">Strong gravitational-like structure in SPM corresponds to regions where residue inscription has stabilized a persistent -(i) basin. Admissible continuation is persistently clipped toward that basin. This is not an additional mechanism — it is the residue dynamics equation operating over many iterations.</w:t>
      </w:r>
    </w:p>
    <w:p>
      <w:pPr>
        <w:spacing w:after="80" w:before="80"/>
      </w:pPr>
      <w:r>
        <w:rPr>
          <w:rFonts w:ascii="Arial" w:cs="Arial" w:eastAsia="Arial" w:hAnsi="Arial"/>
          <w:sz w:val="22"/>
          <w:szCs w:val="22"/>
        </w:rPr>
        <w:t xml:space="preserve">This reinforces the recommendation from TN_CoreBiconditional that the residue dynamics equation be promoted to an explicitly numbered equation in the core cluster, since it is load-bearing for M1, M6, anchored scale, and the gravity reformulation simultaneously.</w:t>
      </w:r>
    </w:p>
    <w:p>
      <w:pPr>
        <w:spacing w:after="0" w:before="0"/>
      </w:pPr>
    </w:p>
    <w:p>
      <w:pPr>
        <w:pStyle w:val="Heading1"/>
        <w:spacing w:after="120" w:before="300"/>
      </w:pPr>
      <w:r>
        <w:rPr>
          <w:rFonts w:ascii="Arial" w:cs="Arial" w:eastAsia="Arial" w:hAnsi="Arial"/>
          <w:b/>
          <w:bCs/>
          <w:sz w:val="32"/>
          <w:szCs w:val="32"/>
        </w:rPr>
        <w:t xml:space="preserve">VI.  Dominance Ordering and Its Position in the Framework</w:t>
      </w:r>
    </w:p>
    <w:p>
      <w:pPr>
        <w:pStyle w:val="Heading2"/>
        <w:spacing w:after="100" w:before="240"/>
      </w:pPr>
      <w:r>
        <w:rPr>
          <w:rFonts w:ascii="Arial" w:cs="Arial" w:eastAsia="Arial" w:hAnsi="Arial"/>
          <w:b/>
          <w:bCs/>
          <w:sz w:val="26"/>
          <w:szCs w:val="26"/>
        </w:rPr>
        <w:t xml:space="preserve">VI.1  What Dominance Ordering Is</w:t>
      </w:r>
    </w:p>
    <w:p>
      <w:pPr>
        <w:spacing w:after="80" w:before="80"/>
      </w:pPr>
      <w:r>
        <w:rPr>
          <w:rFonts w:ascii="Arial" w:cs="Arial" w:eastAsia="Arial" w:hAnsi="Arial"/>
          <w:sz w:val="22"/>
          <w:szCs w:val="22"/>
        </w:rPr>
        <w:t xml:space="preserve">The dominance-ordering framework (from the dark phenomena paper) introduces a regime structure in which the same process expresses differently depending on which influence is primary relative to the local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Regime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Primary Influence</w:t>
            </w:r>
          </w:p>
        </w:tc>
        <w:tc>
          <w:tcPr>
            <w:tcW w:type="dxa" w:w="32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Behavior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Void</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Deviation floor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Expansion-dominant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Galaxy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Residue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continuation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Black hole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Extreme residue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Constraint-dominant (trapping)</w:t>
            </w:r>
          </w:p>
        </w:tc>
      </w:tr>
    </w:tbl>
    <w:p>
      <w:pPr>
        <w:spacing w:after="0" w:before="0"/>
      </w:pPr>
    </w:p>
    <w:p>
      <w:pPr>
        <w:pStyle w:val="Heading2"/>
        <w:spacing w:after="100" w:before="240"/>
      </w:pPr>
      <w:r>
        <w:rPr>
          <w:rFonts w:ascii="Arial" w:cs="Arial" w:eastAsia="Arial" w:hAnsi="Arial"/>
          <w:b/>
          <w:bCs/>
          <w:sz w:val="26"/>
          <w:szCs w:val="26"/>
        </w:rPr>
        <w:t xml:space="preserve">VI.2  Structural Position</w:t>
      </w:r>
    </w:p>
    <w:p>
      <w:pPr>
        <w:spacing w:after="80" w:before="80"/>
      </w:pPr>
      <w:r>
        <w:rPr>
          <w:rFonts w:ascii="Arial" w:cs="Arial" w:eastAsia="Arial" w:hAnsi="Arial"/>
          <w:sz w:val="22"/>
          <w:szCs w:val="22"/>
        </w:rPr>
        <w:t xml:space="preserve">Dominance ordering is a coarse-grained description of the admissibility valve. The valve function A(ε, ρ, R) = σ(ρ + αR − βε − θ) already encodes the competition between continuation capacity (ρ), residue (R), and mismatch (ε). Dominance ordering names which term is winning that competition locally.</w:t>
      </w:r>
    </w:p>
    <w:p>
      <w:pPr>
        <w:spacing w:after="80" w:before="80"/>
      </w:pPr>
      <w:r>
        <w:rPr>
          <w:rFonts w:ascii="Arial" w:cs="Arial" w:eastAsia="Arial" w:hAnsi="Arial"/>
          <w:sz w:val="22"/>
          <w:szCs w:val="22"/>
        </w:rPr>
        <w:t xml:space="preserve">This means dominance ordering is not an additional primitive — it is a reading of the valve function at different parameter regimes. It does not require new formal machinery; it requires the valve function to be given an explicit oriented structure (Gap 1), at which point dominance regimes become directly derivable from the valve inequality.</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before="40"/>
            </w:pPr>
            <w:r>
              <w:rPr>
                <w:rFonts w:ascii="Arial" w:cs="Arial" w:eastAsia="Arial" w:hAnsi="Arial"/>
                <w:b/>
                <w:bCs/>
                <w:sz w:val="22"/>
                <w:szCs w:val="22"/>
              </w:rPr>
              <w:t xml:space="preserve">STRUCTURAL NOTE</w:t>
            </w:r>
          </w:p>
          <w:p>
            <w:pPr>
              <w:spacing w:after="40" w:before="40"/>
            </w:pPr>
            <w:r>
              <w:rPr>
                <w:rFonts w:ascii="Arial" w:cs="Arial" w:eastAsia="Arial" w:hAnsi="Arial"/>
                <w:sz w:val="22"/>
                <w:szCs w:val="22"/>
              </w:rPr>
              <w:t xml:space="preserve">Dominance ordering presupposes that competing -(i) basins can be compared. This comparison requires CSI formation (Gap 3) to be closed: two processes can be compared in dominance terms only if their admissibility windows overlap (i.e., they are in each other's CSI). The gap closure order Gap 1 → Gap 3 therefore also governs when dominance ordering becomes formally derivable rather than phenomenologically described.</w:t>
            </w:r>
          </w:p>
        </w:tc>
      </w:tr>
    </w:tbl>
    <w:p>
      <w:pPr>
        <w:spacing w:after="0" w:before="0"/>
      </w:pPr>
    </w:p>
    <w:p>
      <w:pPr>
        <w:pStyle w:val="Heading1"/>
        <w:spacing w:after="120" w:before="300"/>
      </w:pPr>
      <w:r>
        <w:rPr>
          <w:rFonts w:ascii="Arial" w:cs="Arial" w:eastAsia="Arial" w:hAnsi="Arial"/>
          <w:b/>
          <w:bCs/>
          <w:sz w:val="32"/>
          <w:szCs w:val="32"/>
        </w:rPr>
        <w:t xml:space="preserve">VII.  Elimination of Primitive Time and the Ordering Relation</w:t>
      </w:r>
    </w:p>
    <w:p>
      <w:pPr>
        <w:spacing w:after="80" w:before="80"/>
      </w:pPr>
      <w:r>
        <w:rPr>
          <w:rFonts w:ascii="Arial" w:cs="Arial" w:eastAsia="Arial" w:hAnsi="Arial"/>
          <w:sz w:val="22"/>
          <w:szCs w:val="22"/>
        </w:rPr>
        <w:t xml:space="preserve">The orientation-driven continuation note replaces primitive time with a partial order defined by admissible continuation:</w:t>
      </w:r>
    </w:p>
    <w:p>
      <w:pPr>
        <w:spacing w:after="100" w:before="100"/>
        <w:ind w:left="720"/>
      </w:pPr>
      <w:r>
        <w:rPr>
          <w:rFonts w:ascii="Courier New" w:cs="Courier New" w:eastAsia="Courier New" w:hAnsi="Courier New"/>
          <w:sz w:val="22"/>
          <w:szCs w:val="22"/>
        </w:rPr>
        <w:t xml:space="preserve">x ≺ x′  ⟺  x′ ∈ A(x; R, K)</w:t>
      </w:r>
    </w:p>
    <w:p>
      <w:pPr>
        <w:spacing w:after="80" w:before="80"/>
      </w:pPr>
      <w:r>
        <w:rPr>
          <w:rFonts w:ascii="Arial" w:cs="Arial" w:eastAsia="Arial" w:hAnsi="Arial"/>
          <w:sz w:val="22"/>
          <w:szCs w:val="22"/>
        </w:rPr>
        <w:t xml:space="preserve">Extended: x_a ≺ x_b iff there exists an admissible chain from x_a to x_b. The order is partial (not total), path-dependent, and non-commutative due to R_{t+1} ≠ R_t.</w:t>
      </w:r>
    </w:p>
    <w:p>
      <w:pPr>
        <w:spacing w:after="80" w:before="80"/>
      </w:pPr>
      <w:r>
        <w:rPr>
          <w:rFonts w:ascii="Arial" w:cs="Arial" w:eastAsia="Arial" w:hAnsi="Arial"/>
          <w:sz w:val="22"/>
          <w:szCs w:val="22"/>
        </w:rPr>
        <w:t xml:space="preserve">This is consistent with the core expression's treatment of -(i) as the structural source of realized direction. The non-commutativity follows directly from residue dynamics: applying two continuation steps in different orders produces different residue states, hence different admissibility windows, hence a different order relation. The arrow of ordering is path-dependence under evolving residue — not an external parameter.</w:t>
      </w:r>
    </w:p>
    <w:p>
      <w:pPr>
        <w:spacing w:after="0" w:before="0"/>
      </w:pPr>
    </w:p>
    <w:p>
      <w:pPr>
        <w:spacing w:after="80" w:before="80"/>
      </w:pPr>
      <w:r>
        <w:rPr>
          <w:rFonts w:ascii="Arial" w:cs="Arial" w:eastAsia="Arial" w:hAnsi="Arial"/>
          <w:sz w:val="22"/>
          <w:szCs w:val="22"/>
        </w:rPr>
        <w:t xml:space="preserve">One open item: the orientation-driven note identifies Λ (the index set of admissible loci) as the remaining unresolved primitive. Possible realizations include lattice/grid, relational graph, mode decomposition index, local closure domains, or tensor index space. The choice of Λ determines the final mathematical form of the system and should be registered as Gap 4 in the core cluster.</w:t>
      </w:r>
    </w:p>
    <w:p>
      <w:pPr>
        <w:spacing w:after="0" w:before="0"/>
      </w:pPr>
    </w:p>
    <w:p>
      <w:pPr>
        <w:pStyle w:val="Heading1"/>
        <w:spacing w:after="120" w:before="300"/>
      </w:pPr>
      <w:r>
        <w:rPr>
          <w:rFonts w:ascii="Arial" w:cs="Arial" w:eastAsia="Arial" w:hAnsi="Arial"/>
          <w:b/>
          <w:bCs/>
          <w:sz w:val="32"/>
          <w:szCs w:val="32"/>
        </w:rPr>
        <w:t xml:space="preserve">VIII.  Updated Glossary Entries</w:t>
      </w:r>
    </w:p>
    <w:p>
      <w:pPr>
        <w:spacing w:after="80" w:before="80"/>
      </w:pPr>
      <w:r>
        <w:rPr>
          <w:rFonts w:ascii="Arial" w:cs="Arial" w:eastAsia="Arial" w:hAnsi="Arial"/>
          <w:sz w:val="22"/>
          <w:szCs w:val="22"/>
        </w:rPr>
        <w:t xml:space="preserve">The following entries supersede prior formulations in TN_CoreBiconditional_and_MLaws_v01.</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Symbol / 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Revised Definition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Nav_T(ωα, ωβ)</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Deviation contribution of process β to process α's update, mediated by the mutual coherence of their orientation references -(i)α and -(i)β under current residue R. Transport frame T is constituted by -(i) alignment stability, not by an externally imported geometric object. Residue-conditioned because -(i) is residue-conditioned by construction.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ωα</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Phase-state descriptor for α; input to Nav_T before O* has acted. Placeholder for -(i)α in the canonical expression. Resolved to -(i)α = Ref(O*(εα, Rα) · εα) once the selection operator is defined.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-(i)α</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Local orientation reference for process α; induced by admissible mismatch-minimizing selection O* acting on (εα, Rα). Not a primitive input. Set-valued under degeneracy (multiple admissible operators achieving the same minimum cost). The structural source of realized direction.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Minimizing admissible operator selected by O*(x,t) ∈ argmin_{O ∈ O_adm} μ_rel(O · ε). Operates within Aα; orders admissible continuations under mismatch. Not to be identified with -(i)α itself.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Scale σ(y)</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Anchored scale of continuation y: σ(y) := d(ε(y), ω_t) where ω_t = O[ε_t, R_t]. Scale is local, orientation-referenced, and procedural. 'Large' means persistent mismatch relative to the local -(i) basin, not metric extent.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Dominance ordering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Regime description of which term (floor, residue, mismatch) is primary in the admissibility valve A(ε, ρ, R). Not a new primitive; a reading of the valve function at different parameter regimes. Formally derivable once Gap 1 (Aα orientation) and Gap 3 (CSI formation) are closed.</w:t>
            </w:r>
          </w:p>
        </w:tc>
      </w:tr>
    </w:tbl>
    <w:p>
      <w:pPr>
        <w:spacing w:after="0" w:before="0"/>
      </w:pPr>
    </w:p>
    <w:p>
      <w:pPr>
        <w:pStyle w:val="Heading1"/>
        <w:spacing w:after="120" w:before="300"/>
      </w:pPr>
      <w:r>
        <w:rPr>
          <w:rFonts w:ascii="Arial" w:cs="Arial" w:eastAsia="Arial" w:hAnsi="Arial"/>
          <w:b/>
          <w:bCs/>
          <w:sz w:val="32"/>
          <w:szCs w:val="32"/>
        </w:rPr>
        <w:t xml:space="preserve">IX.  Gap Status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1200"/>
        <w:gridCol w:w="386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Gap</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Prior Status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Current Status</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Gap 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Aα Orientation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Candidate definition provided. Notation collision (α/β as index and valve parameter) must be resolved.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Gap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Nav_T Transport Structure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Strong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 is now constituted by -(i) alignment stability. R-dependence derived, not asserted. Not Perfect: μ_rel and operator algebra still to be hardened.</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Gap 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CSI Formation Rule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 (depends on Gap 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Open (depends on Gap 1)</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Proposed M10 (admissibility overlap rule) still conditional on Gap 1 closure.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Gap 4 (new)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Λ Index 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 registered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index set of admissible loci is the remaining unresolved primitive in the orientation-driven continuation note. Requires formal registration.</w:t>
            </w:r>
          </w:p>
        </w:tc>
      </w:tr>
    </w:tbl>
    <w:p>
      <w:pPr>
        <w:spacing w:after="0" w:before="0"/>
      </w:pPr>
    </w:p>
    <w:p>
      <w:pPr>
        <w:pStyle w:val="Heading1"/>
        <w:spacing w:after="120" w:before="300"/>
      </w:pPr>
      <w:r>
        <w:rPr>
          <w:rFonts w:ascii="Arial" w:cs="Arial" w:eastAsia="Arial" w:hAnsi="Arial"/>
          <w:b/>
          <w:bCs/>
          <w:sz w:val="32"/>
          <w:szCs w:val="32"/>
        </w:rPr>
        <w:t xml:space="preserve">X.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40" w:before="40"/>
            </w:pPr>
            <w:r>
              <w:rPr>
                <w:rFonts w:ascii="Arial" w:cs="Arial" w:eastAsia="Arial" w:hAnsi="Arial"/>
                <w:b/>
                <w:bCs/>
                <w:sz w:val="22"/>
                <w:szCs w:val="22"/>
              </w:rPr>
              <w:t xml:space="preserve">RESULT</w:t>
            </w:r>
          </w:p>
          <w:p>
            <w:pPr>
              <w:spacing w:after="40" w:before="40"/>
            </w:pPr>
            <w:r>
              <w:rPr>
                <w:rFonts w:ascii="Arial" w:cs="Arial" w:eastAsia="Arial" w:hAnsi="Arial"/>
                <w:sz w:val="22"/>
                <w:szCs w:val="22"/>
              </w:rPr>
              <w:t xml:space="preserve">Navigation in the core expression is not an independently defined transport primitive. Nav_T(ωα, ωβ) is the deviation contribution of β to α's update, mediated by the mutual coherence of their -(i) orientation references under current residue R. The transport structure T is constituted by -(i) alignment stability, derived from the admissible mismatch-minimizing selection O*. Gap 2 upgrades from Moderate to Strong.</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40" w:before="40"/>
            </w:pPr>
            <w:r>
              <w:rPr>
                <w:rFonts w:ascii="Arial" w:cs="Arial" w:eastAsia="Arial" w:hAnsi="Arial"/>
                <w:b/>
                <w:bCs/>
                <w:sz w:val="22"/>
                <w:szCs w:val="22"/>
              </w:rPr>
              <w:t xml:space="preserve">LIMIT / OPEN</w:t>
            </w:r>
          </w:p>
          <w:p>
            <w:pPr>
              <w:spacing w:after="40" w:before="40"/>
            </w:pPr>
            <w:r>
              <w:rPr>
                <w:rFonts w:ascii="Arial" w:cs="Arial" w:eastAsia="Arial" w:hAnsi="Arial"/>
                <w:sz w:val="22"/>
                <w:szCs w:val="22"/>
              </w:rPr>
              <w:t xml:space="preserve">Four items remain open. Gap 1 (Aα orientation, notation collision to resolve) blocks Gap 3 (CSI formation / M10). Gap 2 is Strong but not Perfect pending hardening of μ_rel and the operator algebra (L, Q). Gap 4 (the index set Λ) is newly registered as a formal obligation. The residue dynamics equation should be promoted to a numbered equation in the core cluster. The anchored-scale principle and dominance ordering are phenomenologically coherent but formally ahead of their own foundation pending Gap 1 and Gap 3 closure.</w:t>
            </w:r>
          </w:p>
        </w:tc>
      </w:tr>
    </w:tbl>
    <w:p>
      <w:pPr>
        <w:spacing w:after="0" w:before="0"/>
      </w:pPr>
    </w:p>
    <w:p>
      <w:pPr>
        <w:spacing w:after="0" w:before="0"/>
      </w:pPr>
    </w:p>
    <w:p>
      <w:pPr>
        <w:pBdr>
          <w:bottom w:val="single" w:color="2E75B6" w:sz="4" w:space="1"/>
        </w:pBdr>
        <w:spacing w:after="120" w:before="120"/>
      </w:pPr>
    </w:p>
    <w:p>
      <w:pPr>
        <w:spacing w:after="0" w:before="80"/>
      </w:pPr>
      <w:r>
        <w:rPr>
          <w:rFonts w:ascii="Arial" w:cs="Arial" w:eastAsia="Arial" w:hAnsi="Arial"/>
          <w:i/>
          <w:iCs/>
          <w:color w:val="888888"/>
          <w:sz w:val="18"/>
          <w:szCs w:val="18"/>
        </w:rPr>
        <w:t xml:space="preserve">TN_Navigation_and_Minus_i_v01  ·  Mono-Process Framework  ·  2026-05-07  ·  theoretical (Charter v2.3)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2026-05-07T05:02:11.698Z</dcterms:created>
  <dcterms:modified xsi:type="dcterms:W3CDTF">2026-05-07T05:02:11.698Z</dcterms:modified>
</cp:coreProperties>
</file>

<file path=docProps/custom.xml><?xml version="1.0" encoding="utf-8"?>
<Properties xmlns="http://schemas.openxmlformats.org/officeDocument/2006/custom-properties" xmlns:vt="http://schemas.openxmlformats.org/officeDocument/2006/docPropsVTypes"/>
</file>