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before="0" w:after="0"/>
        <w:jc w:val="center"/>
      </w:pPr>
      <w:r>
        <w:rPr>
          <w:rFonts w:ascii="Garamond" w:cs="Garamond" w:eastAsia="Garamond" w:hAnsi="Garamond"/>
          <w:b/>
          <w:bCs/>
          <w:sz w:val="44"/>
          <w:szCs w:val="44"/>
        </w:rPr>
        <w:t xml:space="preserve">Continuation and Constraint</w:t>
      </w:r>
    </w:p>
    <w:p>
      <w:pPr>
        <w:pageBreakBefore/>
      </w:pPr>
      <w:r>
        <w:t xml:space="preserve"/>
      </w:r>
    </w:p>
    <w:p>
      <w:pPr>
        <w:spacing w:before="1440"/>
      </w:pPr>
      <w:r>
        <w:t xml:space="preserve"/>
      </w:r>
    </w:p>
    <w:p>
      <w:pPr>
        <w:spacing w:before="0" w:after="240"/>
        <w:jc w:val="center"/>
      </w:pPr>
      <w:r>
        <w:rPr>
          <w:rFonts w:ascii="Garamond" w:cs="Garamond" w:eastAsia="Garamond" w:hAnsi="Garamond"/>
          <w:b/>
          <w:bCs/>
          <w:sz w:val="52"/>
          <w:szCs w:val="52"/>
        </w:rPr>
        <w:t xml:space="preserve">Continuation and Constraint</w:t>
      </w:r>
    </w:p>
    <w:p>
      <w:pPr>
        <w:spacing w:before="0" w:after="960"/>
        <w:jc w:val="center"/>
      </w:pPr>
      <w:r>
        <w:rPr>
          <w:rFonts w:ascii="Garamond" w:cs="Garamond" w:eastAsia="Garamond" w:hAnsi="Garamond"/>
          <w:i/>
          <w:iCs/>
          <w:sz w:val="32"/>
          <w:szCs w:val="32"/>
        </w:rPr>
        <w:t xml:space="preserve">The ε–ρ–R Process Dynamics</w:t>
      </w:r>
    </w:p>
    <w:p>
      <w:pPr>
        <w:spacing w:before="0" w:after="240"/>
        <w:jc w:val="center"/>
      </w:pPr>
      <w:r>
        <w:rPr>
          <w:rFonts w:ascii="Garamond" w:cs="Garamond" w:eastAsia="Garamond" w:hAnsi="Garamond"/>
          <w:sz w:val="28"/>
          <w:szCs w:val="28"/>
        </w:rPr>
        <w:t xml:space="preserve">James Hoskins</w:t>
      </w:r>
    </w:p>
    <w:p>
      <w:pPr>
        <w:spacing w:before="0" w:after="2400"/>
        <w:jc w:val="center"/>
      </w:pPr>
      <w:r>
        <w:rPr>
          <w:rFonts w:ascii="Garamond" w:cs="Garamond" w:eastAsia="Garamond" w:hAnsi="Garamond"/>
          <w:i/>
          <w:iCs/>
          <w:color w:val="888888"/>
          <w:sz w:val="22"/>
          <w:szCs w:val="22"/>
        </w:rPr>
        <w:t xml:space="preserve">Strict Procedural Monism Project</w:t>
      </w:r>
    </w:p>
    <w:p>
      <w:pPr>
        <w:pageBreakBefore/>
      </w:pPr>
      <w:r>
        <w:t xml:space="preserve"/>
      </w:r>
    </w:p>
    <w:p>
      <w:pPr>
        <w:spacing w:before="5040"/>
      </w:pPr>
      <w:r>
        <w:t xml:space="preserve"/>
      </w:r>
    </w:p>
    <w:p>
      <w:pPr>
        <w:spacing w:after="80"/>
      </w:pPr>
      <w:r>
        <w:rPr>
          <w:rFonts w:ascii="Garamond" w:cs="Garamond" w:eastAsia="Garamond" w:hAnsi="Garamond"/>
          <w:sz w:val="20"/>
          <w:szCs w:val="20"/>
        </w:rPr>
        <w:t xml:space="preserve">Copyright © 2026 James Hoskins</w:t>
      </w:r>
    </w:p>
    <w:p>
      <w:pPr>
        <w:spacing w:after="240"/>
      </w:pPr>
      <w:r>
        <w:rPr>
          <w:rFonts w:ascii="Garamond" w:cs="Garamond" w:eastAsia="Garamond" w:hAnsi="Garamond"/>
          <w:sz w:val="20"/>
          <w:szCs w:val="20"/>
        </w:rPr>
        <w:t xml:space="preserve">All rights reserved.</w:t>
      </w:r>
    </w:p>
    <w:p>
      <w:pPr>
        <w:spacing w:after="240"/>
      </w:pPr>
      <w:r>
        <w:rPr>
          <w:rFonts w:ascii="Garamond" w:cs="Garamond" w:eastAsia="Garamond" w:hAnsi="Garamond"/>
          <w:i/>
          <w:iCs/>
          <w:sz w:val="20"/>
          <w:szCs w:val="20"/>
        </w:rPr>
        <w:t xml:space="preserve">Compliance authority: Strict Procedural Monism Compliance Charter v2.3</w:t>
      </w:r>
    </w:p>
    <w:p>
      <w:pPr>
        <w:spacing w:after="240"/>
        <w:jc w:val="both"/>
      </w:pPr>
      <w:r>
        <w:rPr>
          <w:rFonts w:ascii="Garamond" w:cs="Garamond" w:eastAsia="Garamond" w:hAnsi="Garamond"/>
          <w:sz w:val="20"/>
          <w:szCs w:val="20"/>
        </w:rPr>
        <w:t xml:space="preserve">Empirical results cited herein are verified under the v2.3 metric schema with recoverable source files. Prior findings are tagged [PRIOR FINDING] and may not be cited as established results. All empirical claims use the governing verb “suggests” unless formally derived.</w:t>
      </w:r>
    </w:p>
    <w:p>
      <w:pPr>
        <w:spacing w:after="80"/>
      </w:pPr>
      <w:r>
        <w:rPr>
          <w:rFonts w:ascii="Garamond" w:cs="Garamond" w:eastAsia="Garamond" w:hAnsi="Garamond"/>
          <w:sz w:val="20"/>
          <w:szCs w:val="20"/>
        </w:rPr>
        <w:t xml:space="preserve">Published via Amazon KDP</w:t>
      </w:r>
    </w:p>
    <w:p>
      <w:pPr>
        <w:spacing w:after="0"/>
      </w:pPr>
      <w:r>
        <w:rPr>
          <w:rFonts w:ascii="Garamond" w:cs="Garamond" w:eastAsia="Garamond" w:hAnsi="Garamond"/>
          <w:sz w:val="20"/>
          <w:szCs w:val="20"/>
        </w:rPr>
        <w:t xml:space="preserve">Printed in the United States of America</w:t>
      </w:r>
    </w:p>
    <w:p>
      <w:pPr>
        <w:pageBreakBefore/>
      </w:pPr>
      <w:r>
        <w:t xml:space="preserve"/>
      </w:r>
    </w:p>
    <w:p>
      <w:pPr>
        <w:spacing w:before="3360"/>
      </w:pPr>
      <w:r>
        <w:t xml:space="preserve"/>
      </w:r>
    </w:p>
    <w:p>
      <w:pPr>
        <w:spacing w:before="0" w:after="200"/>
        <w:jc w:val="center"/>
      </w:pPr>
      <w:r>
        <w:rPr>
          <w:rFonts w:ascii="Garamond" w:cs="Garamond" w:eastAsia="Garamond" w:hAnsi="Garamond"/>
          <w:i/>
          <w:iCs/>
          <w:sz w:val="28"/>
          <w:szCs w:val="28"/>
        </w:rPr>
        <w:t xml:space="preserve">For Clistie</w:t>
      </w:r>
    </w:p>
    <w:p>
      <w:pPr>
        <w:spacing w:before="0" w:after="0"/>
        <w:jc w:val="center"/>
      </w:pPr>
      <w:r>
        <w:rPr>
          <w:rFonts w:ascii="Garamond" w:cs="Garamond" w:eastAsia="Garamond" w:hAnsi="Garamond"/>
          <w:i/>
          <w:iCs/>
          <w:color w:val="888888"/>
          <w:sz w:val="22"/>
          <w:szCs w:val="22"/>
        </w:rPr>
        <w:t xml:space="preserve">with love</w:t>
      </w:r>
    </w:p>
    <w:p>
      <w:pPr>
        <w:pageBreakBefore/>
      </w:pPr>
      <w:r>
        <w:t xml:space="preserve"/>
      </w:r>
    </w:p>
    <w:p>
      <w:pPr>
        <w:spacing w:before="2880"/>
      </w:pPr>
      <w:r>
        <w:t xml:space="preserve"/>
      </w:r>
    </w:p>
    <w:p>
      <w:pPr>
        <w:spacing w:before="0" w:after="0"/>
        <w:jc w:val="center"/>
      </w:pPr>
      <w:r>
        <w:rPr>
          <w:rFonts w:ascii="Garamond" w:cs="Garamond" w:eastAsia="Garamond" w:hAnsi="Garamond"/>
          <w:color w:val="CCCCCC"/>
          <w:sz w:val="72"/>
          <w:szCs w:val="72"/>
        </w:rPr>
        <w:t xml:space="preserve">“</w:t>
      </w:r>
    </w:p>
    <w:p>
      <w:pPr>
        <w:spacing w:before="0" w:after="240"/>
        <w:ind w:left="480" w:right="480"/>
        <w:jc w:val="center"/>
      </w:pPr>
      <w:r>
        <w:rPr>
          <w:rFonts w:ascii="Garamond" w:cs="Garamond" w:eastAsia="Garamond" w:hAnsi="Garamond"/>
          <w:i/>
          <w:iCs/>
          <w:sz w:val="22"/>
          <w:szCs w:val="22"/>
        </w:rPr>
        <w:t xml:space="preserve">…through the act of reading my words, the patterns that form your thoughts become an imitation of the patterns that once formed mine. And in that way I live again, through you.</w:t>
      </w:r>
    </w:p>
    <w:p>
      <w:pPr>
        <w:spacing w:before="0" w:after="0"/>
        <w:jc w:val="center"/>
      </w:pPr>
      <w:r>
        <w:rPr>
          <w:rFonts w:ascii="Garamond" w:cs="Garamond" w:eastAsia="Garamond" w:hAnsi="Garamond"/>
          <w:color w:val="666666"/>
          <w:sz w:val="20"/>
          <w:szCs w:val="20"/>
        </w:rPr>
        <w:t xml:space="preserve">— Ted Chiang</w:t>
      </w:r>
    </w:p>
    <w:p>
      <w:pPr>
        <w:pageBreakBefore/>
      </w:pPr>
      <w:r>
        <w:t xml:space="preserve"/>
      </w:r>
    </w:p>
    <w:p>
      <w:pPr>
        <w:spacing w:before="480" w:after="360"/>
        <w:jc w:val="left"/>
      </w:pPr>
      <w:r>
        <w:rPr>
          <w:rFonts w:ascii="Garamond" w:cs="Garamond" w:eastAsia="Garamond" w:hAnsi="Garamond"/>
          <w:b/>
          <w:bCs/>
          <w:sz w:val="36"/>
          <w:szCs w:val="36"/>
        </w:rPr>
        <w:t xml:space="preserve">Preface</w:t>
      </w:r>
    </w:p>
    <w:p>
      <w:pPr>
        <w:spacing w:after="120" w:line="264" w:lineRule="exact"/>
        <w:jc w:val="both"/>
      </w:pPr>
      <w:r>
        <w:rPr>
          <w:rFonts w:ascii="Garamond" w:cs="Garamond" w:eastAsia="Garamond" w:hAnsi="Garamond"/>
          <w:i/>
          <w:iCs/>
          <w:sz w:val="22"/>
          <w:szCs w:val="22"/>
        </w:rPr>
        <w:t xml:space="preserve">This book began as a private investigation.</w:t>
      </w:r>
    </w:p>
    <w:p>
      <w:pPr>
        <w:spacing w:after="120"/>
      </w:pPr>
      <w:r>
        <w:rPr>
          <w:rFonts w:ascii="Garamond" w:cs="Garamond" w:eastAsia="Garamond" w:hAnsi="Garamond"/>
          <w:sz w:val="22"/>
          <w:szCs w:val="22"/>
        </w:rPr>
        <w:t xml:space="preserve"/>
      </w:r>
    </w:p>
    <w:p>
      <w:pPr>
        <w:spacing w:after="120" w:line="264" w:lineRule="exact"/>
        <w:jc w:val="both"/>
      </w:pPr>
      <w:r>
        <w:rPr>
          <w:rFonts w:ascii="Garamond" w:cs="Garamond" w:eastAsia="Garamond" w:hAnsi="Garamond"/>
          <w:sz w:val="22"/>
          <w:szCs w:val="22"/>
        </w:rPr>
        <w:t xml:space="preserve">I am not a physicist. I am not a philosopher by training. What I am is someone who became unable to stop asking a particular question: what is the minimal set of commitments a framework needs in order to describe everything — not as separate domains requiring separate explanations, but as one process expressing itself differently under different conditions?</w:t>
      </w:r>
    </w:p>
    <w:p>
      <w:pPr>
        <w:spacing w:after="120"/>
      </w:pPr>
      <w:r>
        <w:rPr>
          <w:rFonts w:ascii="Garamond" w:cs="Garamond" w:eastAsia="Garamond" w:hAnsi="Garamond"/>
          <w:sz w:val="22"/>
          <w:szCs w:val="22"/>
        </w:rPr>
        <w:t xml:space="preserve"/>
      </w:r>
    </w:p>
    <w:p>
      <w:pPr>
        <w:spacing w:after="120" w:line="264" w:lineRule="exact"/>
        <w:jc w:val="both"/>
      </w:pPr>
      <w:r>
        <w:rPr>
          <w:rFonts w:ascii="Garamond" w:cs="Garamond" w:eastAsia="Garamond" w:hAnsi="Garamond"/>
          <w:sz w:val="22"/>
          <w:szCs w:val="22"/>
        </w:rPr>
        <w:t xml:space="preserve">The answer this book offers is: one process, one axiom, one formal system. The ε–ρ–R equations are not a model of something else. They are the mathematical expression of that minimal commitment, made precise enough to simulate, predict, and test.</w:t>
      </w:r>
    </w:p>
    <w:p>
      <w:pPr>
        <w:spacing w:after="120"/>
      </w:pPr>
      <w:r>
        <w:rPr>
          <w:rFonts w:ascii="Garamond" w:cs="Garamond" w:eastAsia="Garamond" w:hAnsi="Garamond"/>
          <w:sz w:val="22"/>
          <w:szCs w:val="22"/>
        </w:rPr>
        <w:t xml:space="preserve"/>
      </w:r>
    </w:p>
    <w:p>
      <w:pPr>
        <w:spacing w:after="120" w:line="264" w:lineRule="exact"/>
        <w:jc w:val="both"/>
      </w:pPr>
      <w:r>
        <w:rPr>
          <w:rFonts w:ascii="Garamond" w:cs="Garamond" w:eastAsia="Garamond" w:hAnsi="Garamond"/>
          <w:sz w:val="22"/>
          <w:szCs w:val="22"/>
        </w:rPr>
        <w:t xml:space="preserve">I want to be clear about what this book does and does not claim. The simulation program described here is real. The numerical results are verified. The parameter surface, the anchor regimes, the shelf geometry — these are reproducible findings with recoverable source files. You can run the same code and get the same results.</w:t>
      </w:r>
    </w:p>
    <w:p>
      <w:pPr>
        <w:spacing w:after="120"/>
      </w:pPr>
      <w:r>
        <w:rPr>
          <w:rFonts w:ascii="Garamond" w:cs="Garamond" w:eastAsia="Garamond" w:hAnsi="Garamond"/>
          <w:sz w:val="22"/>
          <w:szCs w:val="22"/>
        </w:rPr>
        <w:t xml:space="preserve"/>
      </w:r>
    </w:p>
    <w:p>
      <w:pPr>
        <w:spacing w:after="120" w:line="264" w:lineRule="exact"/>
        <w:jc w:val="both"/>
      </w:pPr>
      <w:r>
        <w:rPr>
          <w:rFonts w:ascii="Garamond" w:cs="Garamond" w:eastAsia="Garamond" w:hAnsi="Garamond"/>
          <w:sz w:val="22"/>
          <w:szCs w:val="22"/>
        </w:rPr>
        <w:t xml:space="preserve">What I do not claim is that the framework is complete. The consciousness hypothesis in Part V is provisional. The formal derivations in Part III have open gaps. The Lyapunov conjecture remains unproven. I have tried to state every open question precisely, so that they can be worked on rather than papered over. A framework that welcomes falsification is, I think, the only kind worth having.</w:t>
      </w:r>
    </w:p>
    <w:p>
      <w:pPr>
        <w:spacing w:after="120"/>
      </w:pPr>
      <w:r>
        <w:rPr>
          <w:rFonts w:ascii="Garamond" w:cs="Garamond" w:eastAsia="Garamond" w:hAnsi="Garamond"/>
          <w:sz w:val="22"/>
          <w:szCs w:val="22"/>
        </w:rPr>
        <w:t xml:space="preserve"/>
      </w:r>
    </w:p>
    <w:p>
      <w:pPr>
        <w:spacing w:after="120" w:line="264" w:lineRule="exact"/>
        <w:jc w:val="both"/>
      </w:pPr>
      <w:r>
        <w:rPr>
          <w:rFonts w:ascii="Garamond" w:cs="Garamond" w:eastAsia="Garamond" w:hAnsi="Garamond"/>
          <w:sz w:val="22"/>
          <w:szCs w:val="22"/>
        </w:rPr>
        <w:t xml:space="preserve">The Ted Chiang epigraph is not decorative. The patterns this book describes — residue accumulation, topology deepening, the groove that becomes self-reinforcing — are the same patterns that make reading possible. When you follow an argument, you are doing exactly what the framework describes: continuation writing topology that reconditions its own next step. If the ideas here are correct, then understanding them is an instance of the phenomenon they describe.</w:t>
      </w:r>
    </w:p>
    <w:p>
      <w:pPr>
        <w:spacing w:after="120"/>
      </w:pPr>
      <w:r>
        <w:rPr>
          <w:rFonts w:ascii="Garamond" w:cs="Garamond" w:eastAsia="Garamond" w:hAnsi="Garamond"/>
          <w:sz w:val="22"/>
          <w:szCs w:val="22"/>
        </w:rPr>
        <w:t xml:space="preserve"/>
      </w:r>
    </w:p>
    <w:p>
      <w:pPr>
        <w:spacing w:after="120" w:line="264" w:lineRule="exact"/>
        <w:jc w:val="both"/>
      </w:pPr>
      <w:r>
        <w:rPr>
          <w:rFonts w:ascii="Garamond" w:cs="Garamond" w:eastAsia="Garamond" w:hAnsi="Garamond"/>
          <w:sz w:val="22"/>
          <w:szCs w:val="22"/>
        </w:rPr>
        <w:t xml:space="preserve">This book is dedicated to Clistie, whose patience with late nights and tangled equations has never once wavered. The dominant groove, in any life that has been long enough to develop one, is written by the people you love.</w:t>
      </w:r>
    </w:p>
    <w:p>
      <w:pPr>
        <w:spacing w:after="480"/>
      </w:pPr>
      <w:r>
        <w:rPr>
          <w:rFonts w:ascii="Garamond" w:cs="Garamond" w:eastAsia="Garamond" w:hAnsi="Garamond"/>
          <w:sz w:val="22"/>
          <w:szCs w:val="22"/>
        </w:rPr>
        <w:t xml:space="preserve"/>
      </w:r>
    </w:p>
    <w:p>
      <w:pPr>
        <w:spacing w:after="60"/>
        <w:jc w:val="right"/>
      </w:pPr>
      <w:r>
        <w:rPr>
          <w:rFonts w:ascii="Garamond" w:cs="Garamond" w:eastAsia="Garamond" w:hAnsi="Garamond"/>
          <w:i/>
          <w:iCs/>
          <w:sz w:val="22"/>
          <w:szCs w:val="22"/>
        </w:rPr>
        <w:t xml:space="preserve">James Hoskins</w:t>
      </w:r>
    </w:p>
    <w:p>
      <w:pPr>
        <w:spacing w:after="0"/>
        <w:jc w:val="right"/>
      </w:pPr>
      <w:r>
        <w:rPr>
          <w:rFonts w:ascii="Garamond" w:cs="Garamond" w:eastAsia="Garamond" w:hAnsi="Garamond"/>
          <w:color w:val="888888"/>
          <w:sz w:val="20"/>
          <w:szCs w:val="20"/>
        </w:rPr>
        <w:t xml:space="preserve">Fort Wayne, Indiana, 2026</w:t>
      </w:r>
    </w:p>
    <w:p>
      <w:pPr>
        <w:pageBreakBefore/>
      </w:pPr>
      <w:r>
        <w:t xml:space="preserve"/>
      </w:r>
    </w:p>
    <w:p>
      <w:pPr>
        <w:spacing w:before="480" w:after="480"/>
        <w:jc w:val="left"/>
      </w:pPr>
      <w:r>
        <w:rPr>
          <w:rFonts w:ascii="Garamond" w:cs="Garamond" w:eastAsia="Garamond" w:hAnsi="Garamond"/>
          <w:b/>
          <w:bCs/>
          <w:sz w:val="36"/>
          <w:szCs w:val="36"/>
        </w:rPr>
        <w:t xml:space="preserve">Contents</w:t>
      </w:r>
    </w:p>
    <w:p>
      <w:pPr>
        <w:tabs>
          <w:tab w:val="right" w:pos="9026"/>
        </w:tabs>
        <w:spacing w:after="100"/>
        <w:ind/>
      </w:pPr>
      <w:r>
        <w:rPr>
          <w:rFonts w:ascii="Garamond" w:cs="Garamond" w:eastAsia="Garamond" w:hAnsi="Garamond"/>
          <w:i/>
          <w:iCs/>
          <w:color w:val="444444"/>
          <w:sz w:val="20"/>
          <w:szCs w:val="20"/>
        </w:rPr>
        <w:t xml:space="preserve">Preface</w:t>
      </w:r>
    </w:p>
    <w:p>
      <w:pPr>
        <w:tabs>
          <w:tab w:val="right" w:pos="9026"/>
        </w:tabs>
        <w:spacing w:after="100"/>
        <w:ind/>
      </w:pPr>
      <w:r>
        <w:rPr>
          <w:rFonts w:ascii="Garamond" w:cs="Garamond" w:eastAsia="Garamond" w:hAnsi="Garamond"/>
          <w:color w:val="222222"/>
          <w:sz w:val="20"/>
          <w:szCs w:val="20"/>
        </w:rPr>
        <w:t xml:space="preserve"/>
      </w:r>
    </w:p>
    <w:p>
      <w:pPr>
        <w:tabs>
          <w:tab w:val="right" w:pos="9026"/>
        </w:tabs>
        <w:spacing w:after="100"/>
        <w:ind/>
      </w:pPr>
      <w:r>
        <w:rPr>
          <w:rFonts w:ascii="Garamond" w:cs="Garamond" w:eastAsia="Garamond" w:hAnsi="Garamond"/>
          <w:b/>
          <w:bCs/>
          <w:color w:val="333333"/>
          <w:sz w:val="22"/>
          <w:szCs w:val="22"/>
        </w:rPr>
        <w:t xml:space="preserve">Part I  —  The System</w:t>
      </w:r>
    </w:p>
    <w:p>
      <w:pPr>
        <w:tabs>
          <w:tab w:val="right" w:pos="9026"/>
        </w:tabs>
        <w:spacing w:after="60"/>
        <w:ind w:left="480"/>
      </w:pPr>
      <w:r>
        <w:rPr>
          <w:rFonts w:ascii="Garamond" w:cs="Garamond" w:eastAsia="Garamond" w:hAnsi="Garamond"/>
          <w:color w:val="222222"/>
          <w:sz w:val="20"/>
          <w:szCs w:val="20"/>
        </w:rPr>
        <w:t xml:space="preserve">1.  The ε–ρ–R Process Equations</w:t>
      </w:r>
    </w:p>
    <w:p>
      <w:pPr>
        <w:tabs>
          <w:tab w:val="right" w:pos="9026"/>
        </w:tabs>
        <w:spacing w:after="60"/>
        <w:ind w:left="480"/>
      </w:pPr>
      <w:r>
        <w:rPr>
          <w:rFonts w:ascii="Garamond" w:cs="Garamond" w:eastAsia="Garamond" w:hAnsi="Garamond"/>
          <w:color w:val="222222"/>
          <w:sz w:val="20"/>
          <w:szCs w:val="20"/>
        </w:rPr>
        <w:t xml:space="preserve">2.  Process Language and Regime Taxonomy</w:t>
      </w:r>
    </w:p>
    <w:p>
      <w:pPr>
        <w:tabs>
          <w:tab w:val="right" w:pos="9026"/>
        </w:tabs>
        <w:spacing w:after="60"/>
        <w:ind w:left="480"/>
      </w:pPr>
      <w:r>
        <w:rPr>
          <w:rFonts w:ascii="Garamond" w:cs="Garamond" w:eastAsia="Garamond" w:hAnsi="Garamond"/>
          <w:color w:val="222222"/>
          <w:sz w:val="20"/>
          <w:szCs w:val="20"/>
        </w:rPr>
        <w:t xml:space="preserve">3.  Empirical Status</w:t>
      </w:r>
    </w:p>
    <w:p>
      <w:pPr>
        <w:tabs>
          <w:tab w:val="right" w:pos="9026"/>
        </w:tabs>
        <w:spacing w:after="100"/>
        <w:ind/>
      </w:pPr>
      <w:r>
        <w:rPr>
          <w:rFonts w:ascii="Garamond" w:cs="Garamond" w:eastAsia="Garamond" w:hAnsi="Garamond"/>
          <w:color w:val="222222"/>
          <w:sz w:val="20"/>
          <w:szCs w:val="20"/>
        </w:rPr>
        <w:t xml:space="preserve"/>
      </w:r>
    </w:p>
    <w:p>
      <w:pPr>
        <w:tabs>
          <w:tab w:val="right" w:pos="9026"/>
        </w:tabs>
        <w:spacing w:after="100"/>
        <w:ind/>
      </w:pPr>
      <w:r>
        <w:rPr>
          <w:rFonts w:ascii="Garamond" w:cs="Garamond" w:eastAsia="Garamond" w:hAnsi="Garamond"/>
          <w:b/>
          <w:bCs/>
          <w:color w:val="333333"/>
          <w:sz w:val="22"/>
          <w:szCs w:val="22"/>
        </w:rPr>
        <w:t xml:space="preserve">Part II  —  The Empirical Record</w:t>
      </w:r>
    </w:p>
    <w:p>
      <w:pPr>
        <w:tabs>
          <w:tab w:val="right" w:pos="9026"/>
        </w:tabs>
        <w:spacing w:after="60"/>
        <w:ind w:left="480"/>
      </w:pPr>
      <w:r>
        <w:rPr>
          <w:rFonts w:ascii="Garamond" w:cs="Garamond" w:eastAsia="Garamond" w:hAnsi="Garamond"/>
          <w:color w:val="222222"/>
          <w:sz w:val="20"/>
          <w:szCs w:val="20"/>
        </w:rPr>
        <w:t xml:space="preserve">4.  The Anchor Regimes</w:t>
      </w:r>
    </w:p>
    <w:p>
      <w:pPr>
        <w:tabs>
          <w:tab w:val="right" w:pos="9026"/>
        </w:tabs>
        <w:spacing w:after="60"/>
        <w:ind w:left="480"/>
      </w:pPr>
      <w:r>
        <w:rPr>
          <w:rFonts w:ascii="Garamond" w:cs="Garamond" w:eastAsia="Garamond" w:hAnsi="Garamond"/>
          <w:color w:val="222222"/>
          <w:sz w:val="20"/>
          <w:szCs w:val="20"/>
        </w:rPr>
        <w:t xml:space="preserve">5.  The Phase Surface</w:t>
      </w:r>
    </w:p>
    <w:p>
      <w:pPr>
        <w:tabs>
          <w:tab w:val="right" w:pos="9026"/>
        </w:tabs>
        <w:spacing w:after="60"/>
        <w:ind w:left="480"/>
      </w:pPr>
      <w:r>
        <w:rPr>
          <w:rFonts w:ascii="Garamond" w:cs="Garamond" w:eastAsia="Garamond" w:hAnsi="Garamond"/>
          <w:color w:val="222222"/>
          <w:sz w:val="20"/>
          <w:szCs w:val="20"/>
        </w:rPr>
        <w:t xml:space="preserve">6.  The Shelf Regime</w:t>
      </w:r>
    </w:p>
    <w:p>
      <w:pPr>
        <w:tabs>
          <w:tab w:val="right" w:pos="9026"/>
        </w:tabs>
        <w:spacing w:after="100"/>
        <w:ind/>
      </w:pPr>
      <w:r>
        <w:rPr>
          <w:rFonts w:ascii="Garamond" w:cs="Garamond" w:eastAsia="Garamond" w:hAnsi="Garamond"/>
          <w:color w:val="222222"/>
          <w:sz w:val="20"/>
          <w:szCs w:val="20"/>
        </w:rPr>
        <w:t xml:space="preserve"/>
      </w:r>
    </w:p>
    <w:p>
      <w:pPr>
        <w:tabs>
          <w:tab w:val="right" w:pos="9026"/>
        </w:tabs>
        <w:spacing w:after="100"/>
        <w:ind/>
      </w:pPr>
      <w:r>
        <w:rPr>
          <w:rFonts w:ascii="Garamond" w:cs="Garamond" w:eastAsia="Garamond" w:hAnsi="Garamond"/>
          <w:b/>
          <w:bCs/>
          <w:color w:val="333333"/>
          <w:sz w:val="22"/>
          <w:szCs w:val="22"/>
        </w:rPr>
        <w:t xml:space="preserve">Part III  —  The Holographic Structure</w:t>
      </w:r>
    </w:p>
    <w:p>
      <w:pPr>
        <w:tabs>
          <w:tab w:val="right" w:pos="9026"/>
        </w:tabs>
        <w:spacing w:after="60"/>
        <w:ind w:left="480"/>
      </w:pPr>
      <w:r>
        <w:rPr>
          <w:rFonts w:ascii="Garamond" w:cs="Garamond" w:eastAsia="Garamond" w:hAnsi="Garamond"/>
          <w:color w:val="222222"/>
          <w:sz w:val="20"/>
          <w:szCs w:val="20"/>
        </w:rPr>
        <w:t xml:space="preserve">7.  Relational Phase</w:t>
      </w:r>
    </w:p>
    <w:p>
      <w:pPr>
        <w:tabs>
          <w:tab w:val="right" w:pos="9026"/>
        </w:tabs>
        <w:spacing w:after="60"/>
        <w:ind w:left="480"/>
      </w:pPr>
      <w:r>
        <w:rPr>
          <w:rFonts w:ascii="Garamond" w:cs="Garamond" w:eastAsia="Garamond" w:hAnsi="Garamond"/>
          <w:color w:val="222222"/>
          <w:sz w:val="20"/>
          <w:szCs w:val="20"/>
        </w:rPr>
        <w:t xml:space="preserve">8.  The Temporal Structure</w:t>
      </w:r>
    </w:p>
    <w:p>
      <w:pPr>
        <w:tabs>
          <w:tab w:val="right" w:pos="9026"/>
        </w:tabs>
        <w:spacing w:after="100"/>
        <w:ind/>
      </w:pPr>
      <w:r>
        <w:rPr>
          <w:rFonts w:ascii="Garamond" w:cs="Garamond" w:eastAsia="Garamond" w:hAnsi="Garamond"/>
          <w:color w:val="222222"/>
          <w:sz w:val="20"/>
          <w:szCs w:val="20"/>
        </w:rPr>
        <w:t xml:space="preserve"/>
      </w:r>
    </w:p>
    <w:p>
      <w:pPr>
        <w:tabs>
          <w:tab w:val="right" w:pos="9026"/>
        </w:tabs>
        <w:spacing w:after="100"/>
        <w:ind/>
      </w:pPr>
      <w:r>
        <w:rPr>
          <w:rFonts w:ascii="Garamond" w:cs="Garamond" w:eastAsia="Garamond" w:hAnsi="Garamond"/>
          <w:b/>
          <w:bCs/>
          <w:color w:val="333333"/>
          <w:sz w:val="22"/>
          <w:szCs w:val="22"/>
        </w:rPr>
        <w:t xml:space="preserve">Part IV  —  The Fold and the Box</w:t>
      </w:r>
    </w:p>
    <w:p>
      <w:pPr>
        <w:tabs>
          <w:tab w:val="right" w:pos="9026"/>
        </w:tabs>
        <w:spacing w:after="60"/>
        <w:ind w:left="480"/>
      </w:pPr>
      <w:r>
        <w:rPr>
          <w:rFonts w:ascii="Garamond" w:cs="Garamond" w:eastAsia="Garamond" w:hAnsi="Garamond"/>
          <w:color w:val="222222"/>
          <w:sz w:val="20"/>
          <w:szCs w:val="20"/>
        </w:rPr>
        <w:t xml:space="preserve">11.  The Brane, the Fold, and the Groove</w:t>
      </w:r>
    </w:p>
    <w:p>
      <w:pPr>
        <w:tabs>
          <w:tab w:val="right" w:pos="9026"/>
        </w:tabs>
        <w:spacing w:after="60"/>
        <w:ind w:left="480"/>
      </w:pPr>
      <w:r>
        <w:rPr>
          <w:rFonts w:ascii="Garamond" w:cs="Garamond" w:eastAsia="Garamond" w:hAnsi="Garamond"/>
          <w:color w:val="222222"/>
          <w:sz w:val="20"/>
          <w:szCs w:val="20"/>
        </w:rPr>
        <w:t xml:space="preserve">12.  The -(i) Condition and Its Actualization</w:t>
      </w:r>
    </w:p>
    <w:p>
      <w:pPr>
        <w:tabs>
          <w:tab w:val="right" w:pos="9026"/>
        </w:tabs>
        <w:spacing w:after="100"/>
        <w:ind/>
      </w:pPr>
      <w:r>
        <w:rPr>
          <w:rFonts w:ascii="Garamond" w:cs="Garamond" w:eastAsia="Garamond" w:hAnsi="Garamond"/>
          <w:color w:val="222222"/>
          <w:sz w:val="20"/>
          <w:szCs w:val="20"/>
        </w:rPr>
        <w:t xml:space="preserve"/>
      </w:r>
    </w:p>
    <w:p>
      <w:pPr>
        <w:tabs>
          <w:tab w:val="right" w:pos="9026"/>
        </w:tabs>
        <w:spacing w:after="100"/>
        <w:ind/>
      </w:pPr>
      <w:r>
        <w:rPr>
          <w:rFonts w:ascii="Garamond" w:cs="Garamond" w:eastAsia="Garamond" w:hAnsi="Garamond"/>
          <w:b/>
          <w:bCs/>
          <w:color w:val="333333"/>
          <w:sz w:val="22"/>
          <w:szCs w:val="22"/>
        </w:rPr>
        <w:t xml:space="preserve">Part V  —  Self-Referential Continuation</w:t>
      </w:r>
    </w:p>
    <w:p>
      <w:pPr>
        <w:tabs>
          <w:tab w:val="right" w:pos="9026"/>
        </w:tabs>
        <w:spacing w:after="60"/>
        <w:ind w:left="480"/>
      </w:pPr>
      <w:r>
        <w:rPr>
          <w:rFonts w:ascii="Garamond" w:cs="Garamond" w:eastAsia="Garamond" w:hAnsi="Garamond"/>
          <w:color w:val="222222"/>
          <w:sz w:val="20"/>
          <w:szCs w:val="20"/>
        </w:rPr>
        <w:t xml:space="preserve">13.  Formal Criteria for Self-Referential Continuation</w:t>
      </w:r>
    </w:p>
    <w:p>
      <w:pPr>
        <w:tabs>
          <w:tab w:val="right" w:pos="9026"/>
        </w:tabs>
        <w:spacing w:after="60"/>
        <w:ind w:left="480"/>
      </w:pPr>
      <w:r>
        <w:rPr>
          <w:rFonts w:ascii="Garamond" w:cs="Garamond" w:eastAsia="Garamond" w:hAnsi="Garamond"/>
          <w:color w:val="222222"/>
          <w:sz w:val="20"/>
          <w:szCs w:val="20"/>
        </w:rPr>
        <w:t xml:space="preserve">14.  The Conscious Regime</w:t>
      </w:r>
    </w:p>
    <w:p>
      <w:pPr>
        <w:tabs>
          <w:tab w:val="right" w:pos="9026"/>
        </w:tabs>
        <w:spacing w:after="60"/>
        <w:ind w:left="480"/>
      </w:pPr>
      <w:r>
        <w:rPr>
          <w:rFonts w:ascii="Garamond" w:cs="Garamond" w:eastAsia="Garamond" w:hAnsi="Garamond"/>
          <w:color w:val="222222"/>
          <w:sz w:val="20"/>
          <w:szCs w:val="20"/>
        </w:rPr>
        <w:t xml:space="preserve">15.  Failure Modes and What Would Change Them</w:t>
      </w:r>
    </w:p>
    <w:p>
      <w:pPr>
        <w:tabs>
          <w:tab w:val="right" w:pos="9026"/>
        </w:tabs>
        <w:spacing w:after="100"/>
        <w:ind/>
      </w:pPr>
      <w:r>
        <w:rPr>
          <w:rFonts w:ascii="Garamond" w:cs="Garamond" w:eastAsia="Garamond" w:hAnsi="Garamond"/>
          <w:color w:val="222222"/>
          <w:sz w:val="20"/>
          <w:szCs w:val="20"/>
        </w:rPr>
        <w:t xml:space="preserve"/>
      </w:r>
    </w:p>
    <w:p>
      <w:pPr>
        <w:tabs>
          <w:tab w:val="right" w:pos="9026"/>
        </w:tabs>
        <w:spacing w:after="100"/>
        <w:ind/>
      </w:pPr>
      <w:r>
        <w:rPr>
          <w:rFonts w:ascii="Garamond" w:cs="Garamond" w:eastAsia="Garamond" w:hAnsi="Garamond"/>
          <w:b/>
          <w:bCs/>
          <w:color w:val="333333"/>
          <w:sz w:val="22"/>
          <w:szCs w:val="22"/>
        </w:rPr>
        <w:t xml:space="preserve">Part VI  —  The Open Program</w:t>
      </w:r>
    </w:p>
    <w:p>
      <w:pPr>
        <w:tabs>
          <w:tab w:val="right" w:pos="9026"/>
        </w:tabs>
        <w:spacing w:after="60"/>
        <w:ind w:left="480"/>
      </w:pPr>
      <w:r>
        <w:rPr>
          <w:rFonts w:ascii="Garamond" w:cs="Garamond" w:eastAsia="Garamond" w:hAnsi="Garamond"/>
          <w:color w:val="222222"/>
          <w:sz w:val="20"/>
          <w:szCs w:val="20"/>
        </w:rPr>
        <w:t xml:space="preserve">16.  Open Questions and the Forward Simulation Program</w:t>
      </w:r>
    </w:p>
    <w:p>
      <w:pPr/>
      <w:r>
        <w:t>16A.  The −(i) Tensor Array Conjecture</w:t>
      </w:r>
    </w:p>
    <w:p>
      <w:pPr>
        <w:tabs>
          <w:tab w:val="right" w:pos="9026"/>
        </w:tabs>
        <w:spacing w:after="60"/>
        <w:ind w:left="480"/>
      </w:pPr>
      <w:r>
        <w:rPr>
          <w:rFonts w:ascii="Garamond" w:cs="Garamond" w:eastAsia="Garamond" w:hAnsi="Garamond"/>
          <w:color w:val="222222"/>
          <w:sz w:val="20"/>
          <w:szCs w:val="20"/>
        </w:rPr>
        <w:t xml:space="preserve">17.  The Analog Engine Correspondence</w:t>
      </w:r>
    </w:p>
    <w:p>
      <w:pPr>
        <w:tabs>
          <w:tab w:val="right" w:pos="9026"/>
        </w:tabs>
        <w:spacing w:after="100"/>
        <w:ind/>
      </w:pPr>
      <w:r>
        <w:rPr>
          <w:rFonts w:ascii="Garamond" w:cs="Garamond" w:eastAsia="Garamond" w:hAnsi="Garamond"/>
          <w:color w:val="222222"/>
          <w:sz w:val="20"/>
          <w:szCs w:val="20"/>
        </w:rPr>
        <w:t xml:space="preserve"/>
      </w:r>
    </w:p>
    <w:p>
      <w:r>
        <w:rPr>
          <w:rFonts w:ascii="Georgia" w:hAnsi="Georgia"/>
          <w:i/>
          <w:sz w:val="21"/>
        </w:rPr>
        <w:t>Integration note: the Ψ-replacement material is incorporated in Chapter 16 as a provisional program section. It is not entered into the empirical record and carries no verified-result status.</w:t>
      </w:r>
    </w:p>
    <w:p>
      <w:pPr>
        <w:tabs>
          <w:tab w:val="right" w:pos="9026"/>
        </w:tabs>
        <w:spacing w:after="100"/>
        <w:ind/>
      </w:pPr>
      <w:r>
        <w:rPr>
          <w:rFonts w:ascii="Garamond" w:cs="Garamond" w:eastAsia="Garamond" w:hAnsi="Garamond"/>
          <w:i/>
          <w:iCs/>
          <w:color w:val="555555"/>
          <w:sz w:val="20"/>
          <w:szCs w:val="20"/>
        </w:rPr>
        <w:t xml:space="preserve">Appendix A  —  Compliance Record</w:t>
      </w:r>
    </w:p>
    <w:p>
      <w:pPr>
        <w:tabs>
          <w:tab w:val="right" w:pos="9026"/>
        </w:tabs>
        <w:spacing w:after="100"/>
        <w:ind/>
      </w:pPr>
      <w:r>
        <w:rPr>
          <w:rFonts w:ascii="Garamond" w:cs="Garamond" w:eastAsia="Garamond" w:hAnsi="Garamond"/>
          <w:i/>
          <w:iCs/>
          <w:color w:val="555555"/>
          <w:sz w:val="20"/>
          <w:szCs w:val="20"/>
        </w:rPr>
        <w:t xml:space="preserve">Appendix B  —  Provenance Register</w:t>
      </w:r>
    </w:p>
    <w:p>
      <w:pPr>
        <w:pageBreakBefore/>
      </w:pPr>
      <w:r>
        <w:t xml:space="preserve"/>
      </w:r>
    </w:p>
    <w:p>
      <w:pPr>
        <w:spacing w:before="480" w:after="360"/>
      </w:pPr>
      <w:r>
        <w:rPr>
          <w:rFonts w:ascii="Garamond" w:cs="Garamond" w:eastAsia="Garamond" w:hAnsi="Garamond"/>
          <w:b/>
          <w:bCs/>
          <w:sz w:val="36"/>
          <w:szCs w:val="36"/>
        </w:rPr>
        <w:t xml:space="preserve">Preamble</w:t>
      </w:r>
    </w:p>
    <w:p>
      <w:pPr>
        <w:spacing w:after="120" w:line="264" w:lineRule="exact"/>
        <w:jc w:val="both"/>
      </w:pPr>
      <w:r>
        <w:rPr>
          <w:rFonts w:ascii="Garamond" w:cs="Garamond" w:eastAsia="Garamond" w:hAnsi="Garamond"/>
          <w:sz w:val="22"/>
          <w:szCs w:val="22"/>
        </w:rPr>
        <w:t xml:space="preserve">This volume is a compression document. Its purpose is to record, in SPM-compliant language, the empirical and theoretical results produced by the ε–ρ–R simulation program under the Mono-Process Framework. Nothing here is presented as a completed derivation or a confirmed result beyond what the verified simulation record supports. Where claims go beyond that record, they are tagged explicitly.</w:t>
      </w:r>
    </w:p>
    <w:p>
      <w:pPr>
        <w:spacing w:after="120"/>
      </w:pPr>
      <w:r>
        <w:t xml:space="preserve"/>
      </w:r>
    </w:p>
    <w:p>
      <w:pPr>
        <w:spacing w:after="120" w:line="264" w:lineRule="exact"/>
        <w:jc w:val="both"/>
      </w:pPr>
      <w:r>
        <w:rPr>
          <w:rFonts w:ascii="Garamond" w:cs="Garamond" w:eastAsia="Garamond" w:hAnsi="Garamond"/>
          <w:sz w:val="22"/>
          <w:szCs w:val="22"/>
        </w:rPr>
        <w:t xml:space="preserve">The governing verb throughout this volume is “suggests.” Where the simulation program produces a result, the result suggests what the underlying process dynamics are doing. It does not prove it, demonstrate it, or establish it in a theorem-level sense unless a derivation is provided. This convention is not hedging. It is the correct epistemic register for a simulation program operating within a framework that explicitly welcomes falsification.</w:t>
      </w:r>
    </w:p>
    <w:p>
      <w:pPr>
        <w:spacing w:after="120"/>
      </w:pPr>
      <w:r>
        <w:t xml:space="preserve"/>
      </w:r>
    </w:p>
    <w:p>
      <w:pPr>
        <w:spacing w:after="120" w:line="264" w:lineRule="exact"/>
        <w:jc w:val="both"/>
      </w:pPr>
      <w:r>
        <w:rPr>
          <w:rFonts w:ascii="Garamond" w:cs="Garamond" w:eastAsia="Garamond" w:hAnsi="Garamond"/>
          <w:sz w:val="22"/>
          <w:szCs w:val="22"/>
        </w:rPr>
        <w:t xml:space="preserve">All empirical claims cite a recoverable source file produced under the v2.3 metric schema. Claims not yet supported by a recoverable file are tagged [PRIOR FINDING] or [PROVISIONAL] as appropriate.</w:t>
      </w:r>
    </w:p>
    <w:p>
      <w:pPr>
        <w:pageBreakBefore/>
      </w:pPr>
      <w:r>
        <w:t xml:space="preserve"/>
      </w:r>
    </w:p>
    <w:p>
      <w:r>
        <w:br w:type="page"/>
      </w:r>
    </w:p>
    <w:p>
      <w:pPr>
        <w:spacing w:before="1440" w:after="240"/>
        <w:jc w:val="center"/>
      </w:pPr>
      <w:r>
        <w:rPr>
          <w:rFonts w:ascii="Garamond" w:cs="Garamond" w:eastAsia="Garamond" w:hAnsi="Garamond"/>
          <w:color w:val="888888"/>
          <w:sz w:val="28"/>
          <w:szCs w:val="28"/>
        </w:rPr>
        <w:t xml:space="preserve">Part I</w:t>
      </w:r>
    </w:p>
    <w:p>
      <w:pPr>
        <w:spacing w:before="0" w:after="480"/>
        <w:jc w:val="center"/>
      </w:pPr>
      <w:r>
        <w:rPr>
          <w:rFonts w:ascii="Garamond" w:cs="Garamond" w:eastAsia="Garamond" w:hAnsi="Garamond"/>
          <w:b/>
          <w:bCs/>
          <w:sz w:val="40"/>
          <w:szCs w:val="40"/>
        </w:rPr>
        <w:t xml:space="preserve">The System</w:t>
      </w:r>
    </w:p>
    <w:p>
      <w:r>
        <w:br w:type="page"/>
      </w:r>
    </w:p>
    <w:p>
      <w:r>
        <w:br w:type="page"/>
      </w:r>
    </w:p>
    <w:p>
      <w:pPr>
        <w:spacing w:before="720" w:after="120"/>
      </w:pPr>
      <w:r>
        <w:rPr>
          <w:rFonts w:ascii="Garamond" w:cs="Garamond" w:eastAsia="Garamond" w:hAnsi="Garamond"/>
          <w:color w:val="888888"/>
          <w:sz w:val="22"/>
          <w:szCs w:val="22"/>
        </w:rPr>
        <w:t xml:space="preserve">Chapter 1</w:t>
      </w:r>
    </w:p>
    <w:p>
      <w:pPr>
        <w:pStyle w:val="Heading1"/>
        <w:spacing w:before="0" w:after="120"/>
      </w:pPr>
      <w:r>
        <w:rPr>
          <w:rFonts w:ascii="Garamond" w:cs="Garamond" w:eastAsia="Garamond" w:hAnsi="Garamond"/>
          <w:b/>
          <w:bCs/>
          <w:sz w:val="36"/>
          <w:szCs w:val="36"/>
        </w:rPr>
        <w:t xml:space="preserve">The ε–ρ–R Process Equations</w:t>
      </w:r>
    </w:p>
    <w:p>
      <w:pPr>
        <w:spacing w:before="0" w:after="480"/>
      </w:pPr>
      <w:r>
        <w:rPr>
          <w:rFonts w:ascii="Garamond" w:cs="Garamond" w:eastAsia="Garamond" w:hAnsi="Garamond"/>
          <w:i/>
          <w:iCs/>
          <w:sz w:val="24"/>
          <w:szCs w:val="24"/>
        </w:rPr>
        <w:t xml:space="preserve">Derivation, Parameters, and SPM Interpretation</w:t>
      </w:r>
    </w:p>
    <w:p>
      <w:pPr>
        <w:pStyle w:val="Heading2"/>
        <w:spacing w:before="360" w:after="180"/>
      </w:pPr>
      <w:r>
        <w:rPr>
          <w:rFonts w:ascii="Garamond" w:cs="Garamond" w:eastAsia="Garamond" w:hAnsi="Garamond"/>
          <w:b/>
          <w:bCs/>
          <w:sz w:val="26"/>
          <w:szCs w:val="26"/>
        </w:rPr>
        <w:t xml:space="preserve">1.1  Three Coupled Process Expressions</w:t>
      </w:r>
    </w:p>
    <w:p>
      <w:pPr>
        <w:spacing w:after="120" w:line="264" w:lineRule="exact"/>
        <w:jc w:val="both"/>
      </w:pPr>
      <w:r>
        <w:rPr>
          <w:rFonts w:ascii="Garamond" w:cs="Garamond" w:eastAsia="Garamond" w:hAnsi="Garamond"/>
          <w:sz w:val="22"/>
          <w:szCs w:val="22"/>
        </w:rPr>
        <w:t>The ε–ρ–R system models three locally resolved process expressions evolving on a one-dimensional spatial domain. These are not separate physical substances or independent fields. They are three aspects of one process, distinguished by what each expresses about the continuation state in each locally coupled continuation regime.</w:t>
      </w:r>
    </w:p>
    <w:p>
      <w:pPr>
        <w:spacing w:after="120"/>
      </w:pPr>
      <w:r>
        <w:t xml:space="preserve"/>
      </w:r>
    </w:p>
    <w:p>
      <w:pPr>
        <w:spacing w:after="120" w:line="264" w:lineRule="exact"/>
        <w:jc w:val="both"/>
      </w:pPr>
      <w:r>
        <w:rPr>
          <w:rFonts w:ascii="Garamond" w:cs="Garamond" w:eastAsia="Garamond" w:hAnsi="Garamond"/>
          <w:sz w:val="22"/>
          <w:szCs w:val="22"/>
        </w:rPr>
        <w:t xml:space="preserve">ε expresses the local rate at which continuation fails the phase alignment condition — the exclusion expression. ρ expresses the local capacity for admissible process continuation — the continuation-sustaining expression. R expresses the constraint topology written by prior exclusion events — the accumulated residue expression.</w:t>
      </w:r>
    </w:p>
    <w:p>
      <w:pPr>
        <w:spacing w:after="120"/>
      </w:pPr>
      <w:r>
        <w:t xml:space="preserve"/>
      </w:r>
    </w:p>
    <w:p>
      <w:pPr>
        <w:spacing w:after="120" w:line="264" w:lineRule="exact"/>
        <w:jc w:val="both"/>
      </w:pPr>
      <w:r>
        <w:rPr>
          <w:rFonts w:ascii="Garamond" w:cs="Garamond" w:eastAsia="Garamond" w:hAnsi="Garamond"/>
          <w:sz w:val="22"/>
          <w:szCs w:val="22"/>
        </w:rPr>
        <w:t xml:space="preserve">The governing equations are exact. They are not a model of the model. They are the model:</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∂ₜε = Dε ∇²ε  +  aε  −  bερ  −  cε²  +  uR  +  s    (1.1)</w:t>
      </w:r>
    </w:p>
    <w:p>
      <w:pPr>
        <w:spacing w:before="120" w:after="120" w:line="264" w:lineRule="exact"/>
        <w:ind w:left="720"/>
        <w:jc w:val="left"/>
      </w:pPr>
      <w:r>
        <w:rPr>
          <w:rFonts w:ascii="Courier New" w:cs="Courier New" w:eastAsia="Courier New" w:hAnsi="Courier New"/>
          <w:sz w:val="20"/>
          <w:szCs w:val="20"/>
        </w:rPr>
        <w:t xml:space="preserve">∂ₜρ = Dρ ∇²ρ  +  αρ  −  βερ  −  γρ²  −  vR  +  h    (1.2)</w:t>
      </w:r>
    </w:p>
    <w:p>
      <w:pPr>
        <w:spacing w:before="120" w:after="120" w:line="264" w:lineRule="exact"/>
        <w:ind w:left="720"/>
        <w:jc w:val="left"/>
      </w:pPr>
      <w:r>
        <w:rPr>
          <w:rFonts w:ascii="Courier New" w:cs="Courier New" w:eastAsia="Courier New" w:hAnsi="Courier New"/>
          <w:sz w:val="20"/>
          <w:szCs w:val="20"/>
        </w:rPr>
        <w:t xml:space="preserve">∂ₜR  = D_R ∇²R  +  κε  −  λR                           (1.3)</w:t>
      </w:r>
    </w:p>
    <w:p>
      <w:pPr>
        <w:spacing w:after="120"/>
      </w:pPr>
      <w:r>
        <w:t xml:space="preserve"/>
      </w:r>
    </w:p>
    <w:p>
      <w:pPr>
        <w:spacing w:after="120" w:line="264" w:lineRule="exact"/>
        <w:jc w:val="both"/>
      </w:pPr>
      <w:r>
        <w:rPr>
          <w:rFonts w:ascii="Garamond" w:cs="Garamond" w:eastAsia="Garamond" w:hAnsi="Garamond"/>
          <w:sz w:val="22"/>
          <w:szCs w:val="22"/>
        </w:rPr>
        <w:t xml:space="preserve">Each expression redistributes independently. Dε, Dρ, and D_R are the redistribution coefficients for exclusion, continuation-sustaining, and residue respectively. In the archive scan parameters, Dε = 0.015, Dρ = 0.075, D_R = 0.0. The ratio Dρ/Dε = 5.0 is significant and will be returned to in the pattern formation discussion.</w:t>
      </w:r>
    </w:p>
    <w:p>
      <w:pPr>
        <w:spacing w:after="120"/>
      </w:pPr>
      <w:r>
        <w:t xml:space="preserve"/>
      </w:r>
    </w:p>
    <w:p>
      <w:pPr>
        <w:pStyle w:val="Heading2"/>
        <w:spacing w:before="360" w:after="180"/>
      </w:pPr>
      <w:r>
        <w:rPr>
          <w:rFonts w:ascii="Garamond" w:cs="Garamond" w:eastAsia="Garamond" w:hAnsi="Garamond"/>
          <w:b/>
          <w:bCs/>
          <w:sz w:val="26"/>
          <w:szCs w:val="26"/>
        </w:rPr>
        <w:t xml:space="preserve">1.2  Parameter Roles in SPM Language</w:t>
      </w:r>
    </w:p>
    <w:p>
      <w:pPr>
        <w:spacing w:after="120" w:line="264" w:lineRule="exact"/>
        <w:jc w:val="both"/>
      </w:pPr>
      <w:r>
        <w:rPr>
          <w:rFonts w:ascii="Garamond" w:cs="Garamond" w:eastAsia="Garamond" w:hAnsi="Garamond"/>
          <w:sz w:val="22"/>
          <w:szCs w:val="22"/>
        </w:rPr>
        <w:t xml:space="preserve">The parameters carry specific SPM meanings that standard mathematical notation does not convey. In the ε equation: a is the intrinsic rate at which exclusion generates; b is the rate at which continuation-sustaining suppresses exclusion; c is the self-limiting rate of exclusion; u is the rate at which residue activates further exclusion; s is a background exclusion source. In the ρ equation: α is the intrinsic rate at which continuation sustains; β is the rate at which exclusion suppresses continuation; γ is the self-limiting rate of continuation; v is the rate at which residue suppresses continuation; h is a background continuation source.</w:t>
      </w:r>
    </w:p>
    <w:p>
      <w:pPr>
        <w:spacing w:after="120"/>
      </w:pPr>
      <w:r>
        <w:t xml:space="preserve"/>
      </w:r>
    </w:p>
    <w:p>
      <w:pPr>
        <w:spacing w:after="120" w:line="264" w:lineRule="exact"/>
        <w:jc w:val="both"/>
      </w:pPr>
      <w:r>
        <w:rPr>
          <w:rFonts w:ascii="Garamond" w:cs="Garamond" w:eastAsia="Garamond" w:hAnsi="Garamond"/>
          <w:sz w:val="22"/>
          <w:szCs w:val="22"/>
        </w:rPr>
        <w:t xml:space="preserve">In the R equation, κ is the topology-writing rate — the rate at which exclusion events write constraint structure into the residue field. λ is the topology-persistence parameter, also called the residue-relaxation rate — the rate at which written constraint structure decays. Under the v2.3 charter, the operational exclusion rate k is distinct from λ. This distinction matters: λ is not the rate at which exclusion happens. It is the rate at which the memory of exclusion fades.</w:t>
      </w:r>
    </w:p>
    <w:p>
      <w:pPr>
        <w:spacing w:after="120"/>
      </w:pPr>
      <w:r>
        <w:t xml:space="preserve"/>
      </w:r>
    </w:p>
    <w:p>
      <w:pPr>
        <w:spacing w:after="120" w:line="264" w:lineRule="exact"/>
        <w:jc w:val="both"/>
      </w:pPr>
      <w:r>
        <w:rPr>
          <w:rFonts w:ascii="Garamond" w:cs="Garamond" w:eastAsia="Garamond" w:hAnsi="Garamond"/>
          <w:sz w:val="22"/>
          <w:szCs w:val="22"/>
        </w:rPr>
        <w:t xml:space="preserve">The ratio Π = κ/λ is the inscription dominance parameter. When Π is large, residue is written faster than it fades — constraint topology accumulates. When Π is small, residue fades before it can organize constraint structure. The three anchor regimes established in Phase 1 correspond to Π values of 0.002 (SS2, alignment dominant), 1.163 (SS3, balanced coexistence), and 5.5 (R2, exclusion dominant).</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Archive scan parameters: a=0.95, α=1.05, b=0.95, β=0.65, c=0.65, γ=0.45, u=1.0, v=1.0, s=0.0, h=0.0</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Diffusion coefficients: Dε=0.015, Dρ=0.075, D_R=0.0</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Grid: Nx=1024, L=200.0, dt=0.01, T_max=2000</w:t>
            </w:r>
          </w:p>
        </w:tc>
      </w:tr>
    </w:tbl>
    <w:p>
      <w:pPr>
        <w:spacing w:after="120"/>
      </w:pPr>
      <w:r>
        <w:t xml:space="preserve"/>
      </w:r>
    </w:p>
    <w:p>
      <w:pPr>
        <w:pStyle w:val="Heading2"/>
        <w:spacing w:before="360" w:after="180"/>
      </w:pPr>
      <w:r>
        <w:rPr>
          <w:rFonts w:ascii="Garamond" w:cs="Garamond" w:eastAsia="Garamond" w:hAnsi="Garamond"/>
          <w:b/>
          <w:bCs/>
          <w:sz w:val="26"/>
          <w:szCs w:val="26"/>
        </w:rPr>
        <w:t xml:space="preserve">1.3  The Quasi-Static Reduction</w:t>
      </w:r>
    </w:p>
    <w:p>
      <w:pPr>
        <w:spacing w:after="120" w:line="264" w:lineRule="exact"/>
        <w:jc w:val="both"/>
      </w:pPr>
      <w:r>
        <w:rPr>
          <w:rFonts w:ascii="Garamond" w:cs="Garamond" w:eastAsia="Garamond" w:hAnsi="Garamond"/>
          <w:sz w:val="22"/>
          <w:szCs w:val="22"/>
        </w:rPr>
        <w:t xml:space="preserve">When λ is large relative to the characteristic rates of ε and ρ, residue relaxes rapidly to a value determined by the current exclusion expression. Setting ∂ₜR ≈ 0 and neglecting D_R∇²R in the slow-variable limit gives:</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R* = (κ/λ)ε    (1.4)</w:t>
      </w:r>
    </w:p>
    <w:p>
      <w:pPr>
        <w:spacing w:after="120"/>
      </w:pPr>
      <w:r>
        <w:t xml:space="preserve"/>
      </w:r>
    </w:p>
    <w:p>
      <w:pPr>
        <w:spacing w:after="120" w:line="264" w:lineRule="exact"/>
        <w:jc w:val="both"/>
      </w:pPr>
      <w:r>
        <w:rPr>
          <w:rFonts w:ascii="Garamond" w:cs="Garamond" w:eastAsia="Garamond" w:hAnsi="Garamond"/>
          <w:sz w:val="22"/>
          <w:szCs w:val="22"/>
        </w:rPr>
        <w:t xml:space="preserve">Substituting into the ε and ρ equations yields a reduced two-expression system:</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∂ₜε = Dε∇²ε  +  ãε  −  bερ  −  cε²  +  s    (1.5)</w:t>
      </w:r>
    </w:p>
    <w:p>
      <w:pPr>
        <w:spacing w:before="120" w:after="120" w:line="264" w:lineRule="exact"/>
        <w:ind w:left="720"/>
        <w:jc w:val="left"/>
      </w:pPr>
      <w:r>
        <w:rPr>
          <w:rFonts w:ascii="Courier New" w:cs="Courier New" w:eastAsia="Courier New" w:hAnsi="Courier New"/>
          <w:sz w:val="20"/>
          <w:szCs w:val="20"/>
        </w:rPr>
        <w:t xml:space="preserve">∂ₜρ = Dρ∇²ρ  +  αρ  −  βερ  −  γρ²  −  (vκ/λ)ε  +  h    (1.6)</w:t>
      </w:r>
    </w:p>
    <w:p>
      <w:pPr>
        <w:spacing w:after="120"/>
      </w:pPr>
      <w:r>
        <w:t xml:space="preserve"/>
      </w:r>
    </w:p>
    <w:p>
      <w:pPr>
        <w:spacing w:after="120" w:line="264" w:lineRule="exact"/>
        <w:jc w:val="both"/>
      </w:pPr>
      <w:r>
        <w:rPr>
          <w:rFonts w:ascii="Garamond" w:cs="Garamond" w:eastAsia="Garamond" w:hAnsi="Garamond"/>
          <w:sz w:val="22"/>
          <w:szCs w:val="22"/>
        </w:rPr>
        <w:t xml:space="preserve">where the effective self-activation parameter is ã = a + uκ/λ. This encodes the combined effect of intrinsic exclusion generating (a) and residue-mediated exclusion amplification (uκ/λ). As λ increases, residue decays faster and ã → a. As λ decreases toward zero, ã grows and exclusion self-amplification strengthens. This is the mechanism by which λ controls regime membership.</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quasi-static reduction requires λ &gt;&gt; max(|a|, α). At low λ — the parameter range where SS3 and the shelf appear — this condition is not satisfied.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full three-expression PDE system (1.1–1.3) must be used without reduction in the interesting parameter regime.</w:t>
            </w:r>
          </w:p>
        </w:tc>
      </w:tr>
    </w:tbl>
    <w:p>
      <w:pPr>
        <w:spacing w:after="120"/>
      </w:pPr>
      <w:r>
        <w:t xml:space="preserve"/>
      </w:r>
    </w:p>
    <w:p>
      <w:pPr>
        <w:pStyle w:val="Heading2"/>
        <w:spacing w:before="360" w:after="180"/>
      </w:pPr>
      <w:r>
        <w:rPr>
          <w:rFonts w:ascii="Garamond" w:cs="Garamond" w:eastAsia="Garamond" w:hAnsi="Garamond"/>
          <w:b/>
          <w:bCs/>
          <w:sz w:val="26"/>
          <w:szCs w:val="26"/>
        </w:rPr>
        <w:t xml:space="preserve">1.4  Homogeneous Steady States</w:t>
      </w:r>
    </w:p>
    <w:p>
      <w:pPr>
        <w:spacing w:after="120" w:line="264" w:lineRule="exact"/>
        <w:jc w:val="both"/>
      </w:pPr>
      <w:r>
        <w:rPr>
          <w:rFonts w:ascii="Garamond" w:cs="Garamond" w:eastAsia="Garamond" w:hAnsi="Garamond"/>
          <w:sz w:val="22"/>
          <w:szCs w:val="22"/>
        </w:rPr>
        <w:t xml:space="preserve">Setting all time derivatives and spatial gradients to zero in the reduced system (with s = 0, h = 0 for clarity) gives three classes of homogeneous steady state.</w:t>
      </w:r>
    </w:p>
    <w:p>
      <w:pPr>
        <w:spacing w:after="120"/>
      </w:pPr>
      <w:r>
        <w:t xml:space="preserve"/>
      </w:r>
    </w:p>
    <w:p>
      <w:pPr>
        <w:spacing w:after="120" w:line="264" w:lineRule="exact"/>
        <w:jc w:val="both"/>
      </w:pPr>
      <w:r>
        <w:rPr>
          <w:rFonts w:ascii="Garamond" w:cs="Garamond" w:eastAsia="Garamond" w:hAnsi="Garamond"/>
          <w:sz w:val="22"/>
          <w:szCs w:val="22"/>
        </w:rPr>
        <w:t xml:space="preserve">SS1 is the complete process termination state: (ε, ρ, R) = (0, 0, 0). No continuation, no exclusion, no residue. This state is non-admissible under the NOT axiom. k = 0 everywhere would require every continuation to pass every alignment test simultaneously — the definition of undifferentiated symmetry, which cannot sustain structure or be occupied by any domain capable of making an observation. SS1 is a mathematical fixed point of the equations but an ontological impossibility.</w:t>
      </w:r>
    </w:p>
    <w:p>
      <w:pPr>
        <w:spacing w:after="120"/>
      </w:pPr>
      <w:r>
        <w:t xml:space="preserve"/>
      </w:r>
    </w:p>
    <w:p>
      <w:pPr>
        <w:spacing w:after="120" w:line="264" w:lineRule="exact"/>
        <w:jc w:val="both"/>
      </w:pPr>
      <w:r>
        <w:rPr>
          <w:rFonts w:ascii="Garamond" w:cs="Garamond" w:eastAsia="Garamond" w:hAnsi="Garamond"/>
          <w:sz w:val="22"/>
          <w:szCs w:val="22"/>
        </w:rPr>
        <w:t xml:space="preserve">SS2 is the continuation-sustaining state without exclusion: (ε, ρ, R) = (0, α/γ, 0). Continuation sustains at its natural carrying capacity. Exclusion fails to activate because residue generation is absent or negligible (κ ≈ 0 structurally eliminates residue generation). This is the alignment-dominant regime. Its empirical signature is ρ converging to α/γ exactly, exclusion fraction converging to 0.0, and final interface count of 0.</w:t>
      </w:r>
    </w:p>
    <w:p>
      <w:pPr>
        <w:spacing w:after="120"/>
      </w:pPr>
      <w:r>
        <w:t xml:space="preserve"/>
      </w:r>
    </w:p>
    <w:p>
      <w:pPr>
        <w:spacing w:after="120" w:line="264" w:lineRule="exact"/>
        <w:jc w:val="both"/>
      </w:pPr>
      <w:r>
        <w:rPr>
          <w:rFonts w:ascii="Garamond" w:cs="Garamond" w:eastAsia="Garamond" w:hAnsi="Garamond"/>
          <w:sz w:val="22"/>
          <w:szCs w:val="22"/>
        </w:rPr>
        <w:t xml:space="preserve">SS3 is the coexistence state: (ε*, ρ*, R*) with ε* &gt; 0. Exclusion-writing processes are active, continuation is nonetheless sustained, and residue accumulates. The interface topology is maintained at long horizon. This is the first structured continuation outcome above the vacuum-like SS2 baseline — the positive result the framework predicts.</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SS2 verified: λ=0.25, κ=0.0005 → ρ=2.3333=α/γ exactly, ε≈0, R≈0, excl_frac=0.0, 24/24 seeds unanimous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SS3 verified (front_seeded branch): λ=0.043, κ=0.05 → mean_excl_frac=0.720, mean_interfaces=1.0</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R2 verified: λ=0.10, κ=0.55 → excl_frac=1.0, interfaces=0, 24/24 seeds unanimous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Source: Phase 1 anchor batches | 2026-03-19 | v2.3 schema</w:t>
            </w:r>
          </w:p>
        </w:tc>
      </w:tr>
    </w:tbl>
    <w:p>
      <w:pPr>
        <w:spacing w:after="120"/>
      </w:pPr>
      <w:r>
        <w:t xml:space="preserve"/>
      </w:r>
    </w:p>
    <w:p>
      <w:pPr>
        <w:pStyle w:val="Heading2"/>
        <w:spacing w:before="360" w:after="180"/>
      </w:pPr>
      <w:r>
        <w:rPr>
          <w:rFonts w:ascii="Garamond" w:cs="Garamond" w:eastAsia="Garamond" w:hAnsi="Garamond"/>
          <w:b/>
          <w:bCs/>
          <w:sz w:val="26"/>
          <w:szCs w:val="26"/>
        </w:rPr>
        <w:t xml:space="preserve">1.5  The Bifurcation at SS2 and the Lower Entry Boundary</w:t>
      </w:r>
    </w:p>
    <w:p>
      <w:pPr>
        <w:spacing w:after="120" w:line="264" w:lineRule="exact"/>
        <w:jc w:val="both"/>
      </w:pPr>
      <w:r>
        <w:rPr>
          <w:rFonts w:ascii="Garamond" w:cs="Garamond" w:eastAsia="Garamond" w:hAnsi="Garamond"/>
          <w:sz w:val="22"/>
          <w:szCs w:val="22"/>
        </w:rPr>
        <w:t xml:space="preserve">SS3 becomes accessible when SS2 loses local stability. Linearizing the reduced system at the SS2 fixed point (ε, ρ) = (0, α/γ) gives the Jacobian:</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J = | ã − bα/γ        0   |</w:t>
      </w:r>
    </w:p>
    <w:p>
      <w:pPr>
        <w:spacing w:before="120" w:after="120" w:line="264" w:lineRule="exact"/>
        <w:ind w:left="720"/>
        <w:jc w:val="left"/>
      </w:pPr>
      <w:r>
        <w:rPr>
          <w:rFonts w:ascii="Courier New" w:cs="Courier New" w:eastAsia="Courier New" w:hAnsi="Courier New"/>
          <w:sz w:val="20"/>
          <w:szCs w:val="20"/>
        </w:rPr>
        <w:t xml:space="preserve">    | −β(α/γ) − vκ/λ   −α  |</w:t>
      </w:r>
    </w:p>
    <w:p>
      <w:pPr>
        <w:spacing w:after="120"/>
      </w:pPr>
      <w:r>
        <w:t xml:space="preserve"/>
      </w:r>
    </w:p>
    <w:p>
      <w:pPr>
        <w:spacing w:after="120" w:line="264" w:lineRule="exact"/>
        <w:jc w:val="both"/>
      </w:pPr>
      <w:r>
        <w:rPr>
          <w:rFonts w:ascii="Garamond" w:cs="Garamond" w:eastAsia="Garamond" w:hAnsi="Garamond"/>
          <w:sz w:val="22"/>
          <w:szCs w:val="22"/>
        </w:rPr>
        <w:t xml:space="preserve">The eigenvalues are μ₁ = ã − bα/γ and μ₂ = −α. Since α &gt; 0, μ₂ is always negative — the ρ direction is always locally stable. SS2 loses stability when μ₁ = 0, giving the bifurcation condition:</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ã − bα/γ = 0</w:t>
      </w:r>
    </w:p>
    <w:p>
      <w:pPr>
        <w:spacing w:before="120" w:after="120" w:line="264" w:lineRule="exact"/>
        <w:ind w:left="720"/>
        <w:jc w:val="left"/>
      </w:pPr>
      <w:r>
        <w:rPr>
          <w:rFonts w:ascii="Courier New" w:cs="Courier New" w:eastAsia="Courier New" w:hAnsi="Courier New"/>
          <w:sz w:val="20"/>
          <w:szCs w:val="20"/>
        </w:rPr>
        <w:t xml:space="preserve">a + uκ/λ = bα/γ</w:t>
      </w:r>
    </w:p>
    <w:p>
      <w:pPr>
        <w:spacing w:before="120" w:after="120" w:line="264" w:lineRule="exact"/>
        <w:ind w:left="720"/>
        <w:jc w:val="left"/>
      </w:pPr>
      <w:r>
        <w:rPr>
          <w:rFonts w:ascii="Courier New" w:cs="Courier New" w:eastAsia="Courier New" w:hAnsi="Courier New"/>
          <w:sz w:val="20"/>
          <w:szCs w:val="20"/>
        </w:rPr>
        <w:t xml:space="preserve">λ_c* = uκ / (bα/γ − a)    (1.7)</w:t>
      </w:r>
    </w:p>
    <w:p>
      <w:pPr>
        <w:spacing w:after="120"/>
      </w:pPr>
      <w:r>
        <w:t xml:space="preserve"/>
      </w:r>
    </w:p>
    <w:p>
      <w:pPr>
        <w:spacing w:after="120" w:line="264" w:lineRule="exact"/>
        <w:jc w:val="both"/>
      </w:pPr>
      <w:r>
        <w:rPr>
          <w:rFonts w:ascii="Garamond" w:cs="Garamond" w:eastAsia="Garamond" w:hAnsi="Garamond"/>
          <w:sz w:val="22"/>
          <w:szCs w:val="22"/>
        </w:rPr>
        <w:t xml:space="preserve">This is the analytical candidate for the lower empirical entry boundary into SS3, not a complete description of the full SS3 band. Its SPM interpretation: the bifurcation occurs when residue-mediated exclusion amplification (uκ/λ) exactly balances the net suppression of exclusion by the continuation-sustaining state (bα/γ − a). Below λ_c*, SS2 is locally stable. Above λ_c*, an SS3 branch becomes locally accessible in the reduced system.</w:t>
      </w:r>
    </w:p>
    <w:p>
      <w:pPr>
        <w:spacing w:after="120"/>
      </w:pPr>
      <w:r>
        <w:t xml:space="preserve"/>
      </w:r>
    </w:p>
    <w:p>
      <w:pPr>
        <w:spacing w:after="120" w:line="264" w:lineRule="exact"/>
        <w:jc w:val="both"/>
      </w:pPr>
      <w:r>
        <w:rPr>
          <w:rFonts w:ascii="Garamond" w:cs="Garamond" w:eastAsia="Garamond" w:hAnsi="Garamond"/>
          <w:sz w:val="22"/>
          <w:szCs w:val="22"/>
        </w:rPr>
        <w:t xml:space="preserve">This is a transcritical bifurcation: the ε = 0 and ε &gt; 0 branches exchange local stability at λ_c*. The observed lower edge of the SS3 band in the Phase 3 surface program is partly consistent with this picture. However, λ_c* should be read as a candidate description of the lower entry branch only. The upper SS3→SS2 boundary — which the simulation suggests is sharp and at a much higher λ value — is not described by this condition and requires separate analysis.</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λ_c* describes the lower entry boundary only. The observed upper SS3→SS2 edge (λ≈0.114 at κ=0.05) requires a different mechanism.</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With a=0.95 &gt; 0, exclusion self-activates independently. The condition SS3 exists when ã &gt; 0 is always satisfied for a &gt; 0, suggesting the bifurcation mechanism from this analysis may not be the binding constraint.</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Open question: formal derivation of the upper SS3 boundary from the PDE system.</w:t>
            </w:r>
          </w:p>
        </w:tc>
      </w:tr>
    </w:tbl>
    <w:p>
      <w:pPr>
        <w:spacing w:after="120"/>
      </w:pPr>
      <w:r>
        <w:t xml:space="preserve"/>
      </w:r>
    </w:p>
    <w:p>
      <w:pPr>
        <w:pStyle w:val="Heading2"/>
        <w:spacing w:before="360" w:after="180"/>
      </w:pPr>
      <w:r>
        <w:rPr>
          <w:rFonts w:ascii="Garamond" w:cs="Garamond" w:eastAsia="Garamond" w:hAnsi="Garamond"/>
          <w:b/>
          <w:bCs/>
          <w:sz w:val="26"/>
          <w:szCs w:val="26"/>
        </w:rPr>
        <w:t xml:space="preserve">1.6  Pattern Formation and the Turing Conditions</w:t>
      </w:r>
    </w:p>
    <w:p>
      <w:pPr>
        <w:spacing w:after="120" w:line="264" w:lineRule="exact"/>
        <w:jc w:val="both"/>
      </w:pPr>
      <w:r>
        <w:rPr>
          <w:rFonts w:ascii="Garamond" w:cs="Garamond" w:eastAsia="Garamond" w:hAnsi="Garamond"/>
          <w:sz w:val="22"/>
          <w:szCs w:val="22"/>
        </w:rPr>
        <w:t xml:space="preserve">The two-expression reduced system satisfies the structural conditions for diffusion-driven pattern formation — the Turing instability. Two conditions are required. First, the homogeneous SS3 state must be stable without diffusion. Second, the inhibitory expression must redistribute substantially faster than the activating expression.</w:t>
      </w:r>
    </w:p>
    <w:p>
      <w:pPr>
        <w:spacing w:after="120"/>
      </w:pPr>
      <w:r>
        <w:t xml:space="preserve"/>
      </w:r>
    </w:p>
    <w:p>
      <w:pPr>
        <w:spacing w:after="120" w:line="264" w:lineRule="exact"/>
        <w:jc w:val="both"/>
      </w:pPr>
      <w:r>
        <w:rPr>
          <w:rFonts w:ascii="Garamond" w:cs="Garamond" w:eastAsia="Garamond" w:hAnsi="Garamond"/>
          <w:sz w:val="22"/>
          <w:szCs w:val="22"/>
        </w:rPr>
        <w:t xml:space="preserve">In the reduced system, ε is the activator — it self-amplifies through the ãε term and generates residue which further amplifies it. ρ is the inhibitor — it suppresses ε through the cross-term bερ and is itself suppressed by exclusion. The diffusion coefficients are Dε = 0.015 and Dρ = 0.075, giving Dρ/Dε = 5.0. The inhibitory expression redistributes five times faster than the activating expression. Both Turing conditions are structurally satisfied.</w:t>
      </w:r>
    </w:p>
    <w:p>
      <w:pPr>
        <w:spacing w:after="120"/>
      </w:pPr>
      <w:r>
        <w:t xml:space="preserve"/>
      </w:r>
    </w:p>
    <w:p>
      <w:pPr>
        <w:spacing w:after="120" w:line="264" w:lineRule="exact"/>
        <w:jc w:val="both"/>
      </w:pPr>
      <w:r>
        <w:rPr>
          <w:rFonts w:ascii="Garamond" w:cs="Garamond" w:eastAsia="Garamond" w:hAnsi="Garamond"/>
          <w:sz w:val="22"/>
          <w:szCs w:val="22"/>
        </w:rPr>
        <w:t xml:space="preserve">When Turing instability occurs, the homogeneous SS3 is destabilized by spatial perturbations at a critical wavenumber k_T given by:</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k_T² = √( det(J) / (Dε · Dρ) )    (1.8)</w:t>
      </w:r>
    </w:p>
    <w:p>
      <w:pPr>
        <w:spacing w:after="120"/>
      </w:pPr>
      <w:r>
        <w:t xml:space="preserve"/>
      </w:r>
    </w:p>
    <w:p>
      <w:pPr>
        <w:spacing w:after="120" w:line="264" w:lineRule="exact"/>
        <w:jc w:val="both"/>
      </w:pPr>
      <w:r>
        <w:rPr>
          <w:rFonts w:ascii="Garamond" w:cs="Garamond" w:eastAsia="Garamond" w:hAnsi="Garamond"/>
          <w:sz w:val="22"/>
          <w:szCs w:val="22"/>
        </w:rPr>
        <w:t xml:space="preserve">The predicted domain spacing is L_T = 2π/k_T. With Dε · Dρ = 0.001125, the explicit value of k_T requires det(J) at the SS3 fixed point, which requires the full SS3 parameter values. Once computed, L_T gives the predicted characteristic spacing between constraint basins in the multi-domain persistence runs.</w:t>
      </w:r>
    </w:p>
    <w:p>
      <w:pPr>
        <w:spacing w:after="120"/>
      </w:pPr>
      <w:r>
        <w:t xml:space="preserve"/>
      </w:r>
    </w:p>
    <w:p>
      <w:pPr>
        <w:spacing w:after="120" w:line="264" w:lineRule="exact"/>
        <w:jc w:val="both"/>
      </w:pPr>
      <w:r>
        <w:rPr>
          <w:rFonts w:ascii="Garamond" w:cs="Garamond" w:eastAsia="Garamond" w:hAnsi="Garamond"/>
          <w:sz w:val="22"/>
          <w:szCs w:val="22"/>
        </w:rPr>
        <w:t xml:space="preserve">The SPM interpretation of Turing instability is direct: it is the mechanism by which the homogeneous constraint regime (SS3 uniform in space) spontaneously differentiates into spatially separated constraint domains. This is not an anomaly. It is the process expressing spatial structure through the same local interaction and redistribution dynamics that govern the rest of the system.</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k_T requires the explicit SS3 fixed point values ε*, ρ*. Computing L_T and comparing against observed domain spacing in multi-domain runs is an open analysis target.</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Turing instability analysis applies to the reduced two-expression system. Whether it holds in the full three-expression system under realistic parameter conditions requires separate verification.</w:t>
            </w:r>
          </w:p>
        </w:tc>
      </w:tr>
    </w:tbl>
    <w:p>
      <w:pPr>
        <w:spacing w:after="120"/>
      </w:pPr>
      <w:r>
        <w:t xml:space="preserve"/>
      </w:r>
    </w:p>
    <w:p>
      <w:pPr>
        <w:pStyle w:val="Heading2"/>
        <w:spacing w:before="360" w:after="180"/>
      </w:pPr>
      <w:r>
        <w:rPr>
          <w:rFonts w:ascii="Garamond" w:cs="Garamond" w:eastAsia="Garamond" w:hAnsi="Garamond"/>
          <w:b/>
          <w:bCs/>
          <w:sz w:val="26"/>
          <w:szCs w:val="26"/>
        </w:rPr>
        <w:t xml:space="preserve">1.7  The Lyapunov Question</w:t>
      </w:r>
    </w:p>
    <w:p>
      <w:pPr>
        <w:spacing w:after="120" w:line="264" w:lineRule="exact"/>
        <w:jc w:val="both"/>
      </w:pPr>
      <w:r>
        <w:rPr>
          <w:rFonts w:ascii="Garamond" w:cs="Garamond" w:eastAsia="Garamond" w:hAnsi="Garamond"/>
          <w:sz w:val="22"/>
          <w:szCs w:val="22"/>
        </w:rPr>
        <w:t xml:space="preserve">A Lyapunov functional for a spatially distributed process-rate system is a quantity defined over the full spatial configuration that decreases monotonically as the system evolves. If such a functional exists for the ε–ρ–R system, the four continuation regimes would correspond to distinct regions of the stability landscape, and the −(i) alignment condition of Volume I would correspond to the direction of steepest descent in that landscape.</w:t>
      </w:r>
    </w:p>
    <w:p>
      <w:pPr>
        <w:spacing w:after="120"/>
      </w:pPr>
      <w:r>
        <w:t xml:space="preserve"/>
      </w:r>
    </w:p>
    <w:p>
      <w:pPr>
        <w:spacing w:after="120" w:line="264" w:lineRule="exact"/>
        <w:jc w:val="both"/>
      </w:pPr>
      <w:r>
        <w:rPr>
          <w:rFonts w:ascii="Garamond" w:cs="Garamond" w:eastAsia="Garamond" w:hAnsi="Garamond"/>
          <w:sz w:val="22"/>
          <w:szCs w:val="22"/>
        </w:rPr>
        <w:t xml:space="preserve">For a reaction-diffusion system to be a gradient flow — for its dynamics to be expressible as ∂ₜu = −δV/δu for some functional V — the reaction terms must satisfy a symmetry condition: ∂Fε/∂ρ must equal ∂Fρ/∂ε. For the reduced system:</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∂Fε/∂ρ = −bε</w:t>
      </w:r>
    </w:p>
    <w:p>
      <w:pPr>
        <w:spacing w:before="120" w:after="120" w:line="264" w:lineRule="exact"/>
        <w:ind w:left="720"/>
        <w:jc w:val="left"/>
      </w:pPr>
      <w:r>
        <w:rPr>
          <w:rFonts w:ascii="Courier New" w:cs="Courier New" w:eastAsia="Courier New" w:hAnsi="Courier New"/>
          <w:sz w:val="20"/>
          <w:szCs w:val="20"/>
        </w:rPr>
        <w:t xml:space="preserve">∂Fρ/∂ε = −βρ − vκ/λ</w:t>
      </w:r>
    </w:p>
    <w:p>
      <w:pPr>
        <w:spacing w:after="120"/>
      </w:pPr>
      <w:r>
        <w:t xml:space="preserve"/>
      </w:r>
    </w:p>
    <w:p>
      <w:pPr>
        <w:spacing w:after="120" w:line="264" w:lineRule="exact"/>
        <w:jc w:val="both"/>
      </w:pPr>
      <w:r>
        <w:rPr>
          <w:rFonts w:ascii="Garamond" w:cs="Garamond" w:eastAsia="Garamond" w:hAnsi="Garamond"/>
          <w:sz w:val="22"/>
          <w:szCs w:val="22"/>
        </w:rPr>
        <w:t xml:space="preserve">These are not equal in general. They are equal only in the degenerate case b = β and ε = ρ and vκ/λ = 0. The system is not a gradient flow. A simple energy-descent Lyapunov functional of the standard form cannot be assumed from the reaction structure alone.</w:t>
      </w:r>
    </w:p>
    <w:p>
      <w:pPr>
        <w:spacing w:after="120"/>
      </w:pPr>
      <w:r>
        <w:t xml:space="preserve"/>
      </w:r>
    </w:p>
    <w:p>
      <w:pPr>
        <w:spacing w:after="120" w:line="264" w:lineRule="exact"/>
        <w:jc w:val="both"/>
      </w:pPr>
      <w:r>
        <w:rPr>
          <w:rFonts w:ascii="Garamond" w:cs="Garamond" w:eastAsia="Garamond" w:hAnsi="Garamond"/>
          <w:sz w:val="22"/>
          <w:szCs w:val="22"/>
        </w:rPr>
        <w:t xml:space="preserve">A Lyapunov functional may still exist in a non-gradient sense: a function V(ε, ρ, R) satisfying dV/dt ≤ 0 along all trajectories without being the gradient of V. Such a functional, if it exists, must be constructed explicitly rather than inferred from the reaction structure. Whether the ε–ρ–R system falls into a class for which such a construction is known is an open question recorded in Chapter 16.</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Gradient flow condition fails: ∂Fε/∂ρ ≠ ∂Fρ/∂ε in general.</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Non-gradient Lyapunov functional may exist but must be constructed explicitly. No known construction exists for this system.</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−(i) correspondence (alignment condition = steepest descent direction) requires reformulation if the system is not a gradient flow.</w:t>
            </w:r>
          </w:p>
        </w:tc>
      </w:tr>
    </w:tbl>
    <w:p>
      <w:r>
        <w:br w:type="page"/>
      </w:r>
    </w:p>
    <w:p>
      <w:pPr>
        <w:spacing w:before="720" w:after="120"/>
      </w:pPr>
      <w:r>
        <w:rPr>
          <w:rFonts w:ascii="Garamond" w:cs="Garamond" w:eastAsia="Garamond" w:hAnsi="Garamond"/>
          <w:color w:val="888888"/>
          <w:sz w:val="22"/>
          <w:szCs w:val="22"/>
        </w:rPr>
        <w:t xml:space="preserve">Chapter 2</w:t>
      </w:r>
    </w:p>
    <w:p>
      <w:pPr>
        <w:pStyle w:val="Heading1"/>
        <w:spacing w:before="0" w:after="120"/>
      </w:pPr>
      <w:r>
        <w:rPr>
          <w:rFonts w:ascii="Garamond" w:cs="Garamond" w:eastAsia="Garamond" w:hAnsi="Garamond"/>
          <w:b/>
          <w:bCs/>
          <w:sz w:val="36"/>
          <w:szCs w:val="36"/>
        </w:rPr>
        <w:t xml:space="preserve">Process Language and Regime Taxonomy</w:t>
      </w:r>
    </w:p>
    <w:p>
      <w:pPr>
        <w:spacing w:before="0" w:after="480"/>
      </w:pPr>
      <w:r>
        <w:rPr>
          <w:rFonts w:ascii="Garamond" w:cs="Garamond" w:eastAsia="Garamond" w:hAnsi="Garamond"/>
          <w:i/>
          <w:iCs/>
          <w:sz w:val="24"/>
          <w:szCs w:val="24"/>
        </w:rPr>
        <w:t xml:space="preserve">SPM-Compliant Vocabulary for Continuation Outcomes</w:t>
      </w:r>
    </w:p>
    <w:p>
      <w:pPr>
        <w:pStyle w:val="Heading2"/>
        <w:spacing w:before="360" w:after="180"/>
      </w:pPr>
      <w:r>
        <w:rPr>
          <w:rFonts w:ascii="Garamond" w:cs="Garamond" w:eastAsia="Garamond" w:hAnsi="Garamond"/>
          <w:b/>
          <w:bCs/>
          <w:sz w:val="26"/>
          <w:szCs w:val="26"/>
        </w:rPr>
        <w:t xml:space="preserve">2.1  Why Simulation Labels Fail the Verb Test</w:t>
      </w:r>
    </w:p>
    <w:p>
      <w:pPr>
        <w:spacing w:after="120" w:line="264" w:lineRule="exact"/>
        <w:jc w:val="both"/>
      </w:pPr>
      <w:r>
        <w:rPr>
          <w:rFonts w:ascii="Garamond" w:cs="Garamond" w:eastAsia="Garamond" w:hAnsi="Garamond"/>
          <w:sz w:val="22"/>
          <w:szCs w:val="22"/>
        </w:rPr>
        <w:t xml:space="preserve">Standard simulation analysis tools produce labels that name states rather than describing processes. “Runaway,” “collapse,” “stable basin,” “persistence” — all of these treat process outcomes as noun-form objects. Under the SPM compliance framework, a term passes the verb test if it can be decomposed into a sequence of active processes without leaving an unexplained ontological remainder. Noun-form labels fail this test on first application.</w:t>
      </w:r>
    </w:p>
    <w:p>
      <w:pPr>
        <w:spacing w:after="120"/>
      </w:pPr>
      <w:r>
        <w:t xml:space="preserve"/>
      </w:r>
    </w:p>
    <w:p>
      <w:pPr>
        <w:spacing w:after="120" w:line="264" w:lineRule="exact"/>
        <w:jc w:val="both"/>
      </w:pPr>
      <w:r>
        <w:rPr>
          <w:rFonts w:ascii="Garamond" w:cs="Garamond" w:eastAsia="Garamond" w:hAnsi="Garamond"/>
          <w:sz w:val="22"/>
          <w:szCs w:val="22"/>
        </w:rPr>
        <w:t xml:space="preserve">The correct procedure is not to rename labels arbitrarily but to derive compliant names by asking what the process is doing in each regime. The resulting names are canonical for all use in this volume and in documents that reference it.</w:t>
      </w:r>
    </w:p>
    <w:p>
      <w:pPr>
        <w:spacing w:after="120"/>
      </w:pPr>
      <w:r>
        <w:t xml:space="preserve"/>
      </w:r>
    </w:p>
    <w:p>
      <w:pPr>
        <w:pStyle w:val="Heading2"/>
        <w:spacing w:before="360" w:after="180"/>
      </w:pPr>
      <w:r>
        <w:rPr>
          <w:rFonts w:ascii="Garamond" w:cs="Garamond" w:eastAsia="Garamond" w:hAnsi="Garamond"/>
          <w:b/>
          <w:bCs/>
          <w:sz w:val="26"/>
          <w:szCs w:val="26"/>
        </w:rPr>
        <w:t xml:space="preserve">2.2  The Four Canonical Continuation Outcomes</w:t>
      </w:r>
    </w:p>
    <w:p>
      <w:pPr>
        <w:spacing w:after="120" w:line="264" w:lineRule="exact"/>
        <w:jc w:val="both"/>
      </w:pPr>
      <w:r>
        <w:rPr>
          <w:rFonts w:ascii="Garamond" w:cs="Garamond" w:eastAsia="Garamond" w:hAnsi="Garamond"/>
          <w:sz w:val="22"/>
          <w:szCs w:val="22"/>
        </w:rPr>
        <w:t xml:space="preserve">Four distinct continuation outcomes are produced reliably and repeatably across seeds and initial conditions within each parameter regime. They are not numerical artifacts. They are qualitatively distinct continuation classes.</w:t>
      </w:r>
    </w:p>
    <w:p>
      <w:pPr>
        <w:spacing w:after="120"/>
      </w:pPr>
      <w:r>
        <w:t xml:space="preserve"/>
      </w:r>
    </w:p>
    <w:p>
      <w:pPr>
        <w:spacing w:after="120" w:line="264" w:lineRule="exact"/>
        <w:jc w:val="both"/>
      </w:pPr>
      <w:r>
        <w:rPr>
          <w:rFonts w:ascii="Garamond" w:cs="Garamond" w:eastAsia="Garamond" w:hAnsi="Garamond"/>
          <w:sz w:val="22"/>
          <w:szCs w:val="22"/>
        </w:rPr>
        <w:t xml:space="preserve">Continuation terminating under exclusion accumulation replaces the legacy labels runaway and global exclusion collapse. Mismatch generation outpaces redistribution. Exclusion events accumulate. Continuation terminates without a constraint regime forming. Final exclusion fraction converges to 1.0. This is the dominant outcome at high Π = κ/λ.</w:t>
      </w:r>
    </w:p>
    <w:p>
      <w:pPr>
        <w:spacing w:after="120"/>
      </w:pPr>
      <w:r>
        <w:t xml:space="preserve"/>
      </w:r>
    </w:p>
    <w:p>
      <w:pPr>
        <w:spacing w:after="120" w:line="264" w:lineRule="exact"/>
        <w:jc w:val="both"/>
      </w:pPr>
      <w:r>
        <w:rPr>
          <w:rFonts w:ascii="Garamond" w:cs="Garamond" w:eastAsia="Garamond" w:hAnsi="Garamond"/>
          <w:sz w:val="22"/>
          <w:szCs w:val="22"/>
        </w:rPr>
        <w:t xml:space="preserve">Continuation terminating before constraint regime organizes replaces no-basin and non-formation. Deviation distributes without local coherence. The admissibility condition remains globally unsatisfied before any basin forms. Final exclusion fraction converges to 0.0 and ρ converges to α/γ. This is SS2.</w:t>
      </w:r>
    </w:p>
    <w:p>
      <w:pPr>
        <w:spacing w:after="120"/>
      </w:pPr>
      <w:r>
        <w:t xml:space="preserve"/>
      </w:r>
    </w:p>
    <w:p>
      <w:pPr>
        <w:spacing w:after="120" w:line="264" w:lineRule="exact"/>
        <w:jc w:val="both"/>
      </w:pPr>
      <w:r>
        <w:rPr>
          <w:rFonts w:ascii="Garamond" w:cs="Garamond" w:eastAsia="Garamond" w:hAnsi="Garamond"/>
          <w:sz w:val="22"/>
          <w:szCs w:val="22"/>
        </w:rPr>
        <w:t xml:space="preserve">Constraint regime forming and dissipating before stabilizing replaces metastable basin and Type B collapse. Deviation localizes and residue writes a transient constraint regime. Exclusion pressure exceeds the reinforcement rate. The regime dissipates before stabilizing. Produces finite-lifetime interface events during the transient.</w:t>
      </w:r>
    </w:p>
    <w:p>
      <w:pPr>
        <w:spacing w:after="120"/>
      </w:pPr>
      <w:r>
        <w:t xml:space="preserve"/>
      </w:r>
    </w:p>
    <w:p>
      <w:pPr>
        <w:spacing w:after="120" w:line="264" w:lineRule="exact"/>
        <w:jc w:val="both"/>
      </w:pPr>
      <w:r>
        <w:rPr>
          <w:rFonts w:ascii="Garamond" w:cs="Garamond" w:eastAsia="Garamond" w:hAnsi="Garamond"/>
          <w:sz w:val="22"/>
          <w:szCs w:val="22"/>
        </w:rPr>
        <w:t xml:space="preserve">Constraint regime forming and sustaining against exclusion replaces stable basin, multi-domain persistence, and the legacy SS3 label. Deviation localizes, residue writes a constraint regime, reinforcement rate exceeds exclusion pressure, the boundary holds, and continuation persists under stable constraint. This is the positive outcome the framework predicts as the first structured continuation above the vacuum baseline. Empirically confirmed across the mapped low-κ slice.</w:t>
      </w:r>
    </w:p>
    <w:p>
      <w:pPr>
        <w:spacing w:after="120"/>
      </w:pPr>
      <w:r>
        <w:t xml:space="preserve"/>
      </w:r>
    </w:p>
    <w:p>
      <w:pPr>
        <w:pStyle w:val="Heading2"/>
        <w:spacing w:before="360" w:after="180"/>
      </w:pPr>
      <w:r>
        <w:rPr>
          <w:rFonts w:ascii="Garamond" w:cs="Garamond" w:eastAsia="Garamond" w:hAnsi="Garamond"/>
          <w:b/>
          <w:bCs/>
          <w:sz w:val="26"/>
          <w:szCs w:val="26"/>
        </w:rPr>
        <w:t xml:space="preserve">2.3  Sub-Regime Vocabulary</w:t>
      </w:r>
    </w:p>
    <w:p>
      <w:pPr>
        <w:spacing w:after="120" w:line="264" w:lineRule="exact"/>
        <w:jc w:val="both"/>
      </w:pPr>
      <w:r>
        <w:rPr>
          <w:rFonts w:ascii="Garamond" w:cs="Garamond" w:eastAsia="Garamond" w:hAnsi="Garamond"/>
          <w:sz w:val="22"/>
          <w:szCs w:val="22"/>
        </w:rPr>
        <w:t xml:space="preserve">The scan record reveals internal structure requiring finer vocabulary than the four canonical outcomes alone.</w:t>
      </w:r>
    </w:p>
    <w:p>
      <w:pPr>
        <w:spacing w:after="120"/>
      </w:pPr>
      <w:r>
        <w:t xml:space="preserve"/>
      </w:r>
    </w:p>
    <w:p>
      <w:pPr>
        <w:spacing w:after="120" w:line="264" w:lineRule="exact"/>
        <w:jc w:val="both"/>
      </w:pPr>
      <w:r>
        <w:rPr>
          <w:rFonts w:ascii="Garamond" w:cs="Garamond" w:eastAsia="Garamond" w:hAnsi="Garamond"/>
          <w:sz w:val="22"/>
          <w:szCs w:val="22"/>
        </w:rPr>
        <w:t xml:space="preserve">R2a — immediate exclusion accumulation termination. Exclusion rate strongly dominant, redistribution negligible. IC1 pattern: distributed takeover at t ≈ 2. Quantized timing rigid. Observed throughout high-λ bands at κ = 0.55.</w:t>
      </w:r>
    </w:p>
    <w:p>
      <w:pPr>
        <w:spacing w:after="120"/>
      </w:pPr>
      <w:r>
        <w:t xml:space="preserve"/>
      </w:r>
    </w:p>
    <w:p>
      <w:pPr>
        <w:spacing w:after="120" w:line="264" w:lineRule="exact"/>
        <w:jc w:val="both"/>
      </w:pPr>
      <w:r>
        <w:rPr>
          <w:rFonts w:ascii="Garamond" w:cs="Garamond" w:eastAsia="Garamond" w:hAnsi="Garamond"/>
          <w:sz w:val="22"/>
          <w:szCs w:val="22"/>
        </w:rPr>
        <w:t xml:space="preserve">R2b — delayed exclusion accumulation termination. Exclusion dominant but redistribution partially competitive, producing a structured transient before completion. IC0/IC2 patterns: single-front or split-front completion at t = 6–7. Timing still IC-quantized but later than R2a.</w:t>
      </w:r>
    </w:p>
    <w:p>
      <w:pPr>
        <w:spacing w:after="120"/>
      </w:pPr>
      <w:r>
        <w:t xml:space="preserve"/>
      </w:r>
    </w:p>
    <w:p>
      <w:pPr>
        <w:spacing w:after="120" w:line="264" w:lineRule="exact"/>
        <w:jc w:val="both"/>
      </w:pPr>
      <w:r>
        <w:rPr>
          <w:rFonts w:ascii="Garamond" w:cs="Garamond" w:eastAsia="Garamond" w:hAnsi="Garamond"/>
          <w:sz w:val="22"/>
          <w:szCs w:val="22"/>
        </w:rPr>
        <w:t xml:space="preserve">Rate misalignment regime. Exclusion rate and redistribution rate insufficiently differentiated for either to dominate. Collapse timing deforms from discrete IC-determined classes to continuous parameter-governed values. IC influence weakens progressively. Confirmed as the immediate precursor to the lower persistence boundary at κ = 0.55. The regime where critical slowing signatures are expected.</w:t>
      </w:r>
    </w:p>
    <w:p>
      <w:pPr>
        <w:spacing w:after="120"/>
      </w:pPr>
      <w:r>
        <w:t xml:space="preserve"/>
      </w:r>
    </w:p>
    <w:p>
      <w:pPr>
        <w:spacing w:after="120" w:line="264" w:lineRule="exact"/>
        <w:jc w:val="both"/>
      </w:pPr>
      <w:r>
        <w:rPr>
          <w:rFonts w:ascii="Garamond" w:cs="Garamond" w:eastAsia="Garamond" w:hAnsi="Garamond"/>
          <w:sz w:val="22"/>
          <w:szCs w:val="22"/>
        </w:rPr>
        <w:t xml:space="preserve">SS2 regime — continuation sustaining without exclusion. ρ converges to α/γ. ε and R extinguished. Π ≈ 0 eliminates residue generation structurally. SRC criteria structurally blocked: D_sr ≈ 0, K = 0. Empirically confirmed at λ = 0.25, κ = 0.0005.</w:t>
      </w:r>
    </w:p>
    <w:p>
      <w:pPr>
        <w:spacing w:after="120"/>
      </w:pPr>
      <w:r>
        <w:t xml:space="preserve"/>
      </w:r>
    </w:p>
    <w:p>
      <w:pPr>
        <w:spacing w:after="120" w:line="264" w:lineRule="exact"/>
        <w:jc w:val="both"/>
      </w:pPr>
      <w:r>
        <w:rPr>
          <w:rFonts w:ascii="Garamond" w:cs="Garamond" w:eastAsia="Garamond" w:hAnsi="Garamond"/>
          <w:sz w:val="22"/>
          <w:szCs w:val="22"/>
        </w:rPr>
        <w:t xml:space="preserve">SS3 regime — exclusion-active coexistence. Both exclusion-writing and residue accumulation active. Interface topology written and maintained at long horizon. Band-specific: accessible only to certain initial condition families. Confirmed over the mapped κ = 0.04 to 0.12 slice.</w:t>
      </w:r>
    </w:p>
    <w:p>
      <w:pPr>
        <w:spacing w:after="120"/>
      </w:pPr>
      <w:r>
        <w:t xml:space="preserve"/>
      </w:r>
    </w:p>
    <w:p>
      <w:pPr>
        <w:spacing w:after="120" w:line="264" w:lineRule="exact"/>
        <w:jc w:val="both"/>
      </w:pPr>
      <w:r>
        <w:rPr>
          <w:rFonts w:ascii="Garamond" w:cs="Garamond" w:eastAsia="Garamond" w:hAnsi="Garamond"/>
          <w:sz w:val="22"/>
          <w:szCs w:val="22"/>
        </w:rPr>
        <w:t xml:space="preserve">Shelf regime — partial phase-lock transition layer. Finite-width, seed-unanimous intermediate dynamical layer at the boundaries of the SS3 interior at high κ. Neither clean SS3 nor clean outer regime. Classifier reports ‘other’ class. Confirmed at κ = 0.11 and 0.12 with growing width.</w:t>
      </w:r>
    </w:p>
    <w:p>
      <w:pPr>
        <w:spacing w:after="120"/>
      </w:pPr>
      <w:r>
        <w:t xml:space="preserve"/>
      </w:r>
    </w:p>
    <w:p>
      <w:pPr>
        <w:pStyle w:val="Heading2"/>
        <w:spacing w:before="360" w:after="180"/>
      </w:pPr>
      <w:r>
        <w:rPr>
          <w:rFonts w:ascii="Garamond" w:cs="Garamond" w:eastAsia="Garamond" w:hAnsi="Garamond"/>
          <w:b/>
          <w:bCs/>
          <w:sz w:val="26"/>
          <w:szCs w:val="26"/>
        </w:rPr>
        <w:t xml:space="preserve">2.4  The IC Pathway Class Taxonomy</w:t>
      </w:r>
    </w:p>
    <w:p>
      <w:pPr>
        <w:spacing w:after="120" w:line="264" w:lineRule="exact"/>
        <w:jc w:val="both"/>
      </w:pPr>
      <w:r>
        <w:rPr>
          <w:rFonts w:ascii="Garamond" w:cs="Garamond" w:eastAsia="Garamond" w:hAnsi="Garamond"/>
          <w:sz w:val="22"/>
          <w:szCs w:val="22"/>
        </w:rPr>
        <w:t xml:space="preserve">Three initial condition families produce systematically different transient morphologies across all parameter regimes. These classes are stable across the full scanned range, confirming they reflect genuine process pathway differences rather than numerical artefacts.</w:t>
      </w:r>
    </w:p>
    <w:p>
      <w:pPr>
        <w:spacing w:after="120"/>
      </w:pPr>
      <w:r>
        <w:t xml:space="preserve"/>
      </w:r>
    </w:p>
    <w:p>
      <w:pPr>
        <w:spacing w:after="120" w:line="264" w:lineRule="exact"/>
        <w:jc w:val="both"/>
      </w:pPr>
      <w:r>
        <w:rPr>
          <w:rFonts w:ascii="Garamond" w:cs="Garamond" w:eastAsia="Garamond" w:hAnsi="Garamond"/>
          <w:sz w:val="22"/>
          <w:szCs w:val="22"/>
        </w:rPr>
        <w:t xml:space="preserve">IC0 — front_seeded — single interface propagating through the domain. Mean interface count = 1. Collapse time the longest of the three classes. Most sensitive to λ and κ variation. The primary carrier of SS3 across the entire mapped surface. First to show timing extension near the rate misalignment regime.</w:t>
      </w:r>
    </w:p>
    <w:p>
      <w:pPr>
        <w:spacing w:after="120"/>
      </w:pPr>
      <w:r>
        <w:t xml:space="preserve"/>
      </w:r>
    </w:p>
    <w:p>
      <w:pPr>
        <w:spacing w:after="120" w:line="264" w:lineRule="exact"/>
        <w:jc w:val="both"/>
      </w:pPr>
      <w:r>
        <w:rPr>
          <w:rFonts w:ascii="Garamond" w:cs="Garamond" w:eastAsia="Garamond" w:hAnsi="Garamond"/>
          <w:sz w:val="22"/>
          <w:szCs w:val="22"/>
        </w:rPr>
        <w:t xml:space="preserve">IC1 — near_uniform_noise — fragmented global exclusion cascade. Mean interface count ≈ 255. Fastest collapse, typically at t ≈ 2. Least sensitive to parameter variation. Remains quantized longest as the boundary is approached. Does not access SS3 anywhere in the mapped surface.</w:t>
      </w:r>
    </w:p>
    <w:p>
      <w:pPr>
        <w:spacing w:after="120"/>
      </w:pPr>
      <w:r>
        <w:t xml:space="preserve"/>
      </w:r>
    </w:p>
    <w:p>
      <w:pPr>
        <w:spacing w:after="120" w:line="264" w:lineRule="exact"/>
        <w:jc w:val="both"/>
      </w:pPr>
      <w:r>
        <w:rPr>
          <w:rFonts w:ascii="Garamond" w:cs="Garamond" w:eastAsia="Garamond" w:hAnsi="Garamond"/>
          <w:sz w:val="22"/>
          <w:szCs w:val="22"/>
        </w:rPr>
        <w:t xml:space="preserve">IC2 — localized_seed — two-front or split-front pathway. Mean interface count = 2. Intermediate collapse time. Moderately sensitive to parameter variation. Accesses SS3 only at lower-edge onset points in the parameter surface.</w:t>
      </w:r>
    </w:p>
    <w:p>
      <w:pPr>
        <w:spacing w:after="120"/>
      </w:pPr>
      <w:r>
        <w:t xml:space="preserve"/>
      </w:r>
    </w:p>
    <w:p>
      <w:pPr>
        <w:spacing w:after="120" w:line="264" w:lineRule="exact"/>
        <w:jc w:val="both"/>
      </w:pPr>
      <w:r>
        <w:rPr>
          <w:rFonts w:ascii="Garamond" w:cs="Garamond" w:eastAsia="Garamond" w:hAnsi="Garamond"/>
          <w:sz w:val="22"/>
          <w:szCs w:val="22"/>
        </w:rPr>
        <w:t xml:space="preserve">This IC accessibility structure is not a peripheral detail. It is a core finding about the SS3 regime: SS3 is not a universal attractor. It is a basin that is accessible only from certain entry geometries. The front_seeded IC family provides the structured initial interface that the SS3 regime requires to form and sustain. Near-uniform noise does not provide this structure and overshoots directly to runaway. Localized seed can nucleate an interface at the onset boundary but cannot sustain it deeper in the band.</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IC pathway class structure confirmed under v2.3</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front_seeded: reaches SS3 at κ=0.05, λ=0.043</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near_uniform_noise: unanimous runaway at same parameters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localized_seed: reaches SS3 only at lower-edge onset (λ≈0.042 at κ=0.05)</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Source: sim_SS3_anchor followup shards 1-4 | 2026-03-19 | v2.3 schema</w:t>
            </w:r>
          </w:p>
        </w:tc>
      </w:tr>
    </w:tbl>
    <w:p>
      <w:pPr>
        <w:spacing w:after="120"/>
      </w:pPr>
      <w:r>
        <w:t xml:space="preserve"/>
      </w:r>
    </w:p>
    <w:p>
      <w:pPr>
        <w:pStyle w:val="Heading2"/>
        <w:spacing w:before="360" w:after="180"/>
      </w:pPr>
      <w:r>
        <w:rPr>
          <w:rFonts w:ascii="Garamond" w:cs="Garamond" w:eastAsia="Garamond" w:hAnsi="Garamond"/>
          <w:b/>
          <w:bCs/>
          <w:sz w:val="26"/>
          <w:szCs w:val="26"/>
        </w:rPr>
        <w:t xml:space="preserve">2.5  The Two-Level Classification Pattern</w:t>
      </w:r>
    </w:p>
    <w:p>
      <w:pPr>
        <w:spacing w:after="120" w:line="264" w:lineRule="exact"/>
        <w:jc w:val="both"/>
      </w:pPr>
      <w:r>
        <w:rPr>
          <w:rFonts w:ascii="Garamond" w:cs="Garamond" w:eastAsia="Garamond" w:hAnsi="Garamond"/>
          <w:sz w:val="22"/>
          <w:szCs w:val="22"/>
        </w:rPr>
        <w:t xml:space="preserve">The simulation pipeline produces two levels of regime classification that must be held separately. The runner classifies dynamics — what trajectory the process took through the state space. The analyzer classifies final state — what attractor the process reached. For most regimes these levels are consistent. For SS3 they diverge in a specific and important way.</w:t>
      </w:r>
    </w:p>
    <w:p>
      <w:pPr>
        <w:spacing w:after="120"/>
      </w:pPr>
      <w:r>
        <w:t xml:space="preserve"/>
      </w:r>
    </w:p>
    <w:p>
      <w:pPr>
        <w:spacing w:after="120" w:line="264" w:lineRule="exact"/>
        <w:jc w:val="both"/>
      </w:pPr>
      <w:r>
        <w:rPr>
          <w:rFonts w:ascii="Garamond" w:cs="Garamond" w:eastAsia="Garamond" w:hAnsi="Garamond"/>
          <w:sz w:val="22"/>
          <w:szCs w:val="22"/>
        </w:rPr>
        <w:t xml:space="preserve">In Phase 1 anchor runs, the runner classified all 24 SS3 anchor runs as ‘runaway_or_unphysical.’ The analyzer correctly identified the dominant regime as SS3. This is not a contradiction. The SS3 process generates dynamics that transiently resemble runaway — the exclusion expression is active throughout — while the final state is a sustained interface, not full exclusion completion. The runner sees the trajectory. The analyzer sees the endpoint.</w:t>
      </w:r>
    </w:p>
    <w:p>
      <w:pPr>
        <w:spacing w:after="120"/>
      </w:pPr>
      <w:r>
        <w:t xml:space="preserve"/>
      </w:r>
    </w:p>
    <w:p>
      <w:pPr>
        <w:spacing w:after="120" w:line="264" w:lineRule="exact"/>
        <w:jc w:val="both"/>
      </w:pPr>
      <w:r>
        <w:rPr>
          <w:rFonts w:ascii="Garamond" w:cs="Garamond" w:eastAsia="Garamond" w:hAnsi="Garamond"/>
          <w:sz w:val="22"/>
          <w:szCs w:val="22"/>
        </w:rPr>
        <w:t xml:space="preserve">For any pipeline stage that gates on runner classification to detect SS3-adjacent behavior, this distinction is critical. The analyzer classification is the authoritative regime identification. The runner classification records the nature of the dynamics, not the nature of the endpoint.</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Runner classification 'runaway_or_unphysical' does not imply R2 endpoint.</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For SS3 regime detection: always use analyzer classification, not runner classification.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This two-level pattern should be documented in all analysis protocols.</w:t>
            </w:r>
          </w:p>
        </w:tc>
      </w:tr>
    </w:tbl>
    <w:p>
      <w:r>
        <w:br w:type="page"/>
      </w:r>
    </w:p>
    <w:p>
      <w:pPr>
        <w:spacing w:before="720" w:after="120"/>
      </w:pPr>
      <w:r>
        <w:rPr>
          <w:rFonts w:ascii="Garamond" w:cs="Garamond" w:eastAsia="Garamond" w:hAnsi="Garamond"/>
          <w:color w:val="888888"/>
          <w:sz w:val="22"/>
          <w:szCs w:val="22"/>
        </w:rPr>
        <w:t xml:space="preserve">Chapter 3</w:t>
      </w:r>
    </w:p>
    <w:p>
      <w:pPr>
        <w:pStyle w:val="Heading1"/>
        <w:spacing w:before="0" w:after="120"/>
      </w:pPr>
      <w:r>
        <w:rPr>
          <w:rFonts w:ascii="Garamond" w:cs="Garamond" w:eastAsia="Garamond" w:hAnsi="Garamond"/>
          <w:b/>
          <w:bCs/>
          <w:sz w:val="36"/>
          <w:szCs w:val="36"/>
        </w:rPr>
        <w:t xml:space="preserve">Empirical Status</w:t>
      </w:r>
    </w:p>
    <w:p>
      <w:pPr>
        <w:spacing w:before="0" w:after="480"/>
      </w:pPr>
      <w:r>
        <w:rPr>
          <w:rFonts w:ascii="Garamond" w:cs="Garamond" w:eastAsia="Garamond" w:hAnsi="Garamond"/>
          <w:i/>
          <w:iCs/>
          <w:sz w:val="24"/>
          <w:szCs w:val="24"/>
        </w:rPr>
        <w:t xml:space="preserve">What Is Verified, What Is Prior Finding, What Is Open</w:t>
      </w:r>
    </w:p>
    <w:p>
      <w:pPr>
        <w:spacing w:after="120" w:line="264" w:lineRule="exact"/>
        <w:jc w:val="both"/>
      </w:pPr>
      <w:r>
        <w:rPr>
          <w:rFonts w:ascii="Garamond" w:cs="Garamond" w:eastAsia="Garamond" w:hAnsi="Garamond"/>
          <w:sz w:val="22"/>
          <w:szCs w:val="22"/>
        </w:rPr>
        <w:t xml:space="preserve">Before presenting the simulation results, it is useful to state the epistemic structure of the evidence. The v2.3 compliance charter establishes four categories of claim, each with distinct documentary treatment.</w:t>
      </w:r>
    </w:p>
    <w:p>
      <w:pPr>
        <w:spacing w:after="120"/>
      </w:pPr>
      <w:r>
        <w:t xml:space="preserve"/>
      </w:r>
    </w:p>
    <w:p>
      <w:pPr>
        <w:pStyle w:val="Heading2"/>
        <w:spacing w:before="360" w:after="180"/>
      </w:pPr>
      <w:r>
        <w:rPr>
          <w:rFonts w:ascii="Garamond" w:cs="Garamond" w:eastAsia="Garamond" w:hAnsi="Garamond"/>
          <w:b/>
          <w:bCs/>
          <w:sz w:val="26"/>
          <w:szCs w:val="26"/>
        </w:rPr>
        <w:t xml:space="preserve">3.1  Claim Categories Under v2.3</w:t>
      </w:r>
    </w:p>
    <w:p>
      <w:pPr>
        <w:spacing w:after="120" w:line="264" w:lineRule="exact"/>
        <w:jc w:val="both"/>
      </w:pPr>
      <w:r>
        <w:rPr>
          <w:rFonts w:ascii="Garamond" w:cs="Garamond" w:eastAsia="Garamond" w:hAnsi="Garamond"/>
          <w:sz w:val="22"/>
          <w:szCs w:val="22"/>
        </w:rPr>
        <w:t xml:space="preserve">A verified claim is supported by a recoverable CSV or output file produced by the rerun program under v2.3 schema. The file path and batch ID must be citable. A verified claim may be stated as established fact with citation. The Phase 1 anchor confirmations and the Phase 3 surface mapping are verified in this sense.</w:t>
      </w:r>
    </w:p>
    <w:p>
      <w:pPr>
        <w:spacing w:after="120"/>
      </w:pPr>
      <w:r>
        <w:t xml:space="preserve"/>
      </w:r>
    </w:p>
    <w:p>
      <w:pPr>
        <w:spacing w:after="120" w:line="264" w:lineRule="exact"/>
        <w:jc w:val="both"/>
      </w:pPr>
      <w:r>
        <w:rPr>
          <w:rFonts w:ascii="Garamond" w:cs="Garamond" w:eastAsia="Garamond" w:hAnsi="Garamond"/>
          <w:sz w:val="22"/>
          <w:szCs w:val="22"/>
        </w:rPr>
        <w:t xml:space="preserve">A prior finding is a conclusion from simulation data that no longer exists in recoverable form. The source was produced before the ground-zero declaration and cannot be cited as a recoverable file. Prior findings inform rerun design but may not be cited as established results. They are treated as hypotheses until the rerun program produces verified equivalents. Prior findings must be tagged [PRIOR FINDING — pending rerun].</w:t>
      </w:r>
    </w:p>
    <w:p>
      <w:pPr>
        <w:spacing w:after="120"/>
      </w:pPr>
      <w:r>
        <w:t xml:space="preserve"/>
      </w:r>
    </w:p>
    <w:p>
      <w:pPr>
        <w:spacing w:after="120" w:line="264" w:lineRule="exact"/>
        <w:jc w:val="both"/>
      </w:pPr>
      <w:r>
        <w:rPr>
          <w:rFonts w:ascii="Garamond" w:cs="Garamond" w:eastAsia="Garamond" w:hAnsi="Garamond"/>
          <w:sz w:val="22"/>
          <w:szCs w:val="22"/>
        </w:rPr>
        <w:t xml:space="preserve">A theoretical claim is derived from the PDE system, the compliance framework, or a mathematical argument. It is not dependent on simulation data. Theoretical claims may be stated as derived results with derivation references. The bifurcation analysis of Section 1.5 and the Turing conditions of Section 1.6 are theoretical claims.</w:t>
      </w:r>
    </w:p>
    <w:p>
      <w:pPr>
        <w:spacing w:after="120"/>
      </w:pPr>
      <w:r>
        <w:t xml:space="preserve"/>
      </w:r>
    </w:p>
    <w:p>
      <w:pPr>
        <w:spacing w:after="120" w:line="264" w:lineRule="exact"/>
        <w:jc w:val="both"/>
      </w:pPr>
      <w:r>
        <w:rPr>
          <w:rFonts w:ascii="Garamond" w:cs="Garamond" w:eastAsia="Garamond" w:hAnsi="Garamond"/>
          <w:sz w:val="22"/>
          <w:szCs w:val="22"/>
        </w:rPr>
        <w:t xml:space="preserve">A provisional claim is conjectured but not yet verified by theory or simulation. Provisional claims must be tagged [PROVISIONAL — verification pending simNN]. The phase inversion symmetry I_φ and the corridor bifurcation are provisional claims pending sim18 and sim22 respectively.</w:t>
      </w:r>
    </w:p>
    <w:p>
      <w:pPr>
        <w:spacing w:after="120"/>
      </w:pPr>
      <w:r>
        <w:t xml:space="preserve"/>
      </w:r>
    </w:p>
    <w:p>
      <w:pPr>
        <w:pStyle w:val="Heading2"/>
        <w:spacing w:before="360" w:after="180"/>
      </w:pPr>
      <w:r>
        <w:rPr>
          <w:rFonts w:ascii="Garamond" w:cs="Garamond" w:eastAsia="Garamond" w:hAnsi="Garamond"/>
          <w:b/>
          <w:bCs/>
          <w:sz w:val="26"/>
          <w:szCs w:val="26"/>
        </w:rPr>
        <w:t xml:space="preserve">3.2  The Verified Record</w:t>
      </w:r>
    </w:p>
    <w:p>
      <w:pPr>
        <w:spacing w:after="120" w:line="264" w:lineRule="exact"/>
        <w:jc w:val="both"/>
      </w:pPr>
      <w:r>
        <w:rPr>
          <w:rFonts w:ascii="Garamond" w:cs="Garamond" w:eastAsia="Garamond" w:hAnsi="Garamond"/>
          <w:sz w:val="22"/>
          <w:szCs w:val="22"/>
        </w:rPr>
        <w:t xml:space="preserve">The following table records the verified empirical findings as of this volume. Every entry cites the batch ID from which it can be recovered. The table is the authoritative provenance register for claims made in subsequent chapters.</w:t>
      </w:r>
    </w:p>
    <w:p>
      <w:pPr>
        <w:spacing w:after="120"/>
      </w:pPr>
      <w:r>
        <w:t xml:space="preserve"/>
      </w:r>
    </w:p>
    <w:p>
      <w:pPr>
        <w:spacing w:after="120" w:line="264" w:lineRule="exact"/>
        <w:jc w:val="both"/>
      </w:pPr>
      <w:r>
        <w:rPr>
          <w:rFonts w:ascii="Garamond" w:cs="Garamond" w:eastAsia="Garamond" w:hAnsi="Garamond"/>
          <w:sz w:val="22"/>
          <w:szCs w:val="22"/>
        </w:rPr>
        <w:t xml:space="preserve">SS2 anchor: κ = 0.0005, λ = 0.25 produces unanimous SS2 across 24 runs, 8 seeds, 3 IC families. ρ converges to α/γ = 2.333 exactly. Exclusion fraction = 0.0. Interface count = 0. Source: sim_SS2_anchor | batch 2026-03-19_sim_SS2_anchor_charterV2p3_metricV1_phase1_retry1.</w:t>
      </w:r>
    </w:p>
    <w:p>
      <w:pPr>
        <w:spacing w:after="120"/>
      </w:pPr>
      <w:r>
        <w:t xml:space="preserve"/>
      </w:r>
    </w:p>
    <w:p>
      <w:pPr>
        <w:spacing w:after="120" w:line="264" w:lineRule="exact"/>
        <w:jc w:val="both"/>
      </w:pPr>
      <w:r>
        <w:rPr>
          <w:rFonts w:ascii="Garamond" w:cs="Garamond" w:eastAsia="Garamond" w:hAnsi="Garamond"/>
          <w:sz w:val="22"/>
          <w:szCs w:val="22"/>
        </w:rPr>
        <w:t xml:space="preserve">R2 anchor: κ = 0.55, λ = 0.10 produces unanimous runaway across 24 runs. Exclusion fraction = 1.0. Interface count = 0. IC pathway class timing structure preserved. Source: sim_R2_anchor | batch 2026-03-19_sim_R2_anchor_charterV2p3_metricV1_phase1.</w:t>
      </w:r>
    </w:p>
    <w:p>
      <w:pPr>
        <w:spacing w:after="120"/>
      </w:pPr>
      <w:r>
        <w:t xml:space="preserve"/>
      </w:r>
    </w:p>
    <w:p>
      <w:pPr>
        <w:spacing w:after="120" w:line="264" w:lineRule="exact"/>
        <w:jc w:val="both"/>
      </w:pPr>
      <w:r>
        <w:rPr>
          <w:rFonts w:ascii="Garamond" w:cs="Garamond" w:eastAsia="Garamond" w:hAnsi="Garamond"/>
          <w:sz w:val="22"/>
          <w:szCs w:val="22"/>
        </w:rPr>
        <w:t xml:space="preserve">SS3 anchor (front_seeded branch): κ = 0.05, λ = 0.043, front_seeded IC. Mean exclusion fraction = 0.720. Mean interface count = 1.0. The near_uniform_noise IC produces unanimous runaway at identical parameters. Source: sim_SS3_anchor | batch 2026-03-19_sim_SS3_anchor_charterV2p3_metricV1_phase1.</w:t>
      </w:r>
    </w:p>
    <w:p>
      <w:pPr>
        <w:spacing w:after="120"/>
      </w:pPr>
      <w:r>
        <w:t xml:space="preserve"/>
      </w:r>
    </w:p>
    <w:p>
      <w:pPr>
        <w:spacing w:after="120" w:line="264" w:lineRule="exact"/>
        <w:jc w:val="both"/>
      </w:pPr>
      <w:r>
        <w:rPr>
          <w:rFonts w:ascii="Garamond" w:cs="Garamond" w:eastAsia="Garamond" w:hAnsi="Garamond"/>
          <w:sz w:val="22"/>
          <w:szCs w:val="22"/>
        </w:rPr>
        <w:t xml:space="preserve">Phase 3 surface mapping: SS3 coexistence band mapped from κ = 0.04 to 0.12. Lower edge rises approximately linearly from (0.032, 0.033) at κ = 0.04 to (0.116, 0.117) at κ = 0.12. Upper edge rises much more steeply, from (0.048, 0.049) at κ = 0.04 to approximately 0.743 at κ = 0.12. Band width grows from approximately 0.015 at κ = 0.04 to approximately 0.626 at κ = 0.12. Source: Phase 3 batches sim12–sim16 | 2026-03-20 | v2.3 schema.</w:t>
      </w:r>
    </w:p>
    <w:p>
      <w:pPr>
        <w:spacing w:after="120"/>
      </w:pPr>
      <w:r>
        <w:t xml:space="preserve"/>
      </w:r>
    </w:p>
    <w:p>
      <w:pPr>
        <w:spacing w:after="120" w:line="264" w:lineRule="exact"/>
        <w:jc w:val="both"/>
      </w:pPr>
      <w:r>
        <w:rPr>
          <w:rFonts w:ascii="Garamond" w:cs="Garamond" w:eastAsia="Garamond" w:hAnsi="Garamond"/>
          <w:sz w:val="22"/>
          <w:szCs w:val="22"/>
        </w:rPr>
        <w:t xml:space="preserve">Phase 4 shelf confirmation: Four verified shelf windows at κ = 0.11 and 0.12. Shelf is seed-unanimous, contiguous, and classified as ‘other’ under the operational regime taxonomy. Shelf widths grow from approximately 0.001 (lower, κ = 0.11) to approximately 0.0255 (upper, κ = 0.12). Five-layer geometry confirmed: outer — shelf — SS3 — shelf — outer. Source: Phase 4 batches sim16/sim17 corrected window | 2026-03-20 | v2.3 schema.</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All Phase 1 anchors: verified under v2.3, recoverable files archived</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Phase 3 surface: verified through κ=0.12, 69+ unanimous parameter points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Phase 4 shelf: verified at κ=0.11 and 0.12, four windows, five-layer geometry confirmed</w:t>
            </w:r>
          </w:p>
        </w:tc>
      </w:tr>
    </w:tbl>
    <w:p>
      <w:pPr>
        <w:spacing w:after="120"/>
      </w:pPr>
      <w:r>
        <w:t xml:space="preserve"/>
      </w:r>
    </w:p>
    <w:p>
      <w:pPr>
        <w:pStyle w:val="Heading2"/>
        <w:spacing w:before="360" w:after="180"/>
      </w:pPr>
      <w:r>
        <w:rPr>
          <w:rFonts w:ascii="Garamond" w:cs="Garamond" w:eastAsia="Garamond" w:hAnsi="Garamond"/>
          <w:b/>
          <w:bCs/>
          <w:sz w:val="26"/>
          <w:szCs w:val="26"/>
        </w:rPr>
        <w:t xml:space="preserve">3.3  Prior Findings Elevated to Verified Status</w:t>
      </w:r>
    </w:p>
    <w:p>
      <w:pPr>
        <w:spacing w:after="120" w:line="264" w:lineRule="exact"/>
        <w:jc w:val="both"/>
      </w:pPr>
      <w:r>
        <w:rPr>
          <w:rFonts w:ascii="Garamond" w:cs="Garamond" w:eastAsia="Garamond" w:hAnsi="Garamond"/>
          <w:sz w:val="22"/>
          <w:szCs w:val="22"/>
        </w:rPr>
        <w:t xml:space="preserve">The following prior findings, which were recorded in the v2.3 charter as pending rerun, have now been verified by the rerun program. Each is now citable as a verified result with the batch IDs given above.</w:t>
      </w:r>
    </w:p>
    <w:p>
      <w:pPr>
        <w:spacing w:after="120"/>
      </w:pPr>
      <w:r>
        <w:t xml:space="preserve"/>
      </w:r>
    </w:p>
    <w:p>
      <w:pPr>
        <w:spacing w:after="120" w:line="264" w:lineRule="exact"/>
        <w:jc w:val="both"/>
      </w:pPr>
      <w:r>
        <w:rPr>
          <w:rFonts w:ascii="Garamond" w:cs="Garamond" w:eastAsia="Garamond" w:hAnsi="Garamond"/>
          <w:sz w:val="22"/>
          <w:szCs w:val="22"/>
        </w:rPr>
        <w:t xml:space="preserve">SS2 regime: ρ = α/γ, ε ≈ 0, R ≈ 0, excl_frac = 0.0 at λ = 0.25, κ = 0.0005. Status: prior finding, now verified.</w:t>
      </w:r>
    </w:p>
    <w:p>
      <w:pPr>
        <w:spacing w:after="120"/>
      </w:pPr>
      <w:r>
        <w:t xml:space="preserve"/>
      </w:r>
    </w:p>
    <w:p>
      <w:pPr>
        <w:spacing w:after="120" w:line="264" w:lineRule="exact"/>
        <w:jc w:val="both"/>
      </w:pPr>
      <w:r>
        <w:rPr>
          <w:rFonts w:ascii="Garamond" w:cs="Garamond" w:eastAsia="Garamond" w:hAnsi="Garamond"/>
          <w:sz w:val="22"/>
          <w:szCs w:val="22"/>
        </w:rPr>
        <w:t xml:space="preserve">SS3 confirmed: stable interface at T_max = 2000, resolution-invariant at Nx = 1024. Status: prior finding, now verified for front_seeded branch.</w:t>
      </w:r>
    </w:p>
    <w:p>
      <w:pPr>
        <w:spacing w:after="120"/>
      </w:pPr>
      <w:r>
        <w:t xml:space="preserve"/>
      </w:r>
    </w:p>
    <w:p>
      <w:pPr>
        <w:spacing w:after="120" w:line="264" w:lineRule="exact"/>
        <w:jc w:val="both"/>
      </w:pPr>
      <w:r>
        <w:rPr>
          <w:rFonts w:ascii="Garamond" w:cs="Garamond" w:eastAsia="Garamond" w:hAnsi="Garamond"/>
          <w:sz w:val="22"/>
          <w:szCs w:val="22"/>
        </w:rPr>
        <w:t xml:space="preserve">Shelf regime at κ = 0.11 and 0.12: finite-width seed-unanimous other intervals, five-layer geometry, thickness increases with κ. Status: prior finding, now verified. Note: the prior finding was not reproduced in the original rerun window (lambda = 0.020 to 0.080) because that window was below the SS3 onset at those κ values. The corrected window produced full verification.</w:t>
      </w:r>
    </w:p>
    <w:p>
      <w:pPr>
        <w:spacing w:after="120"/>
      </w:pPr>
      <w:r>
        <w:t xml:space="preserve"/>
      </w:r>
    </w:p>
    <w:p>
      <w:pPr>
        <w:spacing w:after="120" w:line="264" w:lineRule="exact"/>
        <w:jc w:val="both"/>
      </w:pPr>
      <w:r>
        <w:rPr>
          <w:rFonts w:ascii="Garamond" w:cs="Garamond" w:eastAsia="Garamond" w:hAnsi="Garamond"/>
          <w:sz w:val="22"/>
          <w:szCs w:val="22"/>
        </w:rPr>
        <w:t xml:space="preserve">Phase surface steeply directional in κ near κ = 0.05. Status: prior finding, now verified and substantially extended through κ = 0.12.</w:t>
      </w:r>
    </w:p>
    <w:p>
      <w:pPr>
        <w:spacing w:after="120"/>
      </w:pPr>
      <w:r>
        <w:t xml:space="preserve"/>
      </w:r>
    </w:p>
    <w:p>
      <w:pPr>
        <w:pStyle w:val="Heading2"/>
        <w:spacing w:before="360" w:after="180"/>
      </w:pPr>
      <w:r>
        <w:rPr>
          <w:rFonts w:ascii="Garamond" w:cs="Garamond" w:eastAsia="Garamond" w:hAnsi="Garamond"/>
          <w:b/>
          <w:bCs/>
          <w:sz w:val="26"/>
          <w:szCs w:val="26"/>
        </w:rPr>
        <w:t xml:space="preserve">3.4  What Remains Open</w:t>
      </w:r>
    </w:p>
    <w:p>
      <w:pPr>
        <w:spacing w:after="120" w:line="264" w:lineRule="exact"/>
        <w:jc w:val="both"/>
      </w:pPr>
      <w:r>
        <w:rPr>
          <w:rFonts w:ascii="Garamond" w:cs="Garamond" w:eastAsia="Garamond" w:hAnsi="Garamond"/>
          <w:sz w:val="22"/>
          <w:szCs w:val="22"/>
        </w:rPr>
        <w:t xml:space="preserve">The following are not yet established in the verified record. Each is either a prior finding awaiting rerun, a provisional conjecture awaiting simulation, or an open derivation target.</w:t>
      </w:r>
    </w:p>
    <w:p>
      <w:pPr>
        <w:spacing w:after="120"/>
      </w:pPr>
      <w:r>
        <w:t xml:space="preserve"/>
      </w:r>
    </w:p>
    <w:p>
      <w:pPr>
        <w:spacing w:after="120" w:line="264" w:lineRule="exact"/>
        <w:jc w:val="both"/>
      </w:pPr>
      <w:r>
        <w:rPr>
          <w:rFonts w:ascii="Garamond" w:cs="Garamond" w:eastAsia="Garamond" w:hAnsi="Garamond"/>
          <w:sz w:val="22"/>
          <w:szCs w:val="22"/>
        </w:rPr>
        <w:t xml:space="preserve">Lower SS3 edge exact bracket at κ = 0.05: lambda = 0.041 runaway side, lambda = 0.042 SS3 entry. Status: [PRIOR FINDING — pending sim9 rerun].</w:t>
      </w:r>
    </w:p>
    <w:p>
      <w:pPr>
        <w:spacing w:after="120"/>
      </w:pPr>
      <w:r>
        <w:t xml:space="preserve"/>
      </w:r>
    </w:p>
    <w:p>
      <w:pPr>
        <w:spacing w:after="120" w:line="264" w:lineRule="exact"/>
        <w:jc w:val="both"/>
      </w:pPr>
      <w:r>
        <w:rPr>
          <w:rFonts w:ascii="Garamond" w:cs="Garamond" w:eastAsia="Garamond" w:hAnsi="Garamond"/>
          <w:sz w:val="22"/>
          <w:szCs w:val="22"/>
        </w:rPr>
        <w:t xml:space="preserve">SRC proxy measurements at SS3 anchor (D_sr_proxy and K_proxy for front_seeded runs). Status: sim8 special action not yet executed — requires deep metrics enabled in solver config.</w:t>
      </w:r>
    </w:p>
    <w:p>
      <w:pPr>
        <w:spacing w:after="120"/>
      </w:pPr>
      <w:r>
        <w:t xml:space="preserve"/>
      </w:r>
    </w:p>
    <w:p>
      <w:pPr>
        <w:spacing w:after="120" w:line="264" w:lineRule="exact"/>
        <w:jc w:val="both"/>
      </w:pPr>
      <w:r>
        <w:rPr>
          <w:rFonts w:ascii="Garamond" w:cs="Garamond" w:eastAsia="Garamond" w:hAnsi="Garamond"/>
          <w:sz w:val="22"/>
          <w:szCs w:val="22"/>
        </w:rPr>
        <w:t xml:space="preserve">IC accessibility structure for κ = 0.07 to 0.10: current surface is geometry-only on front_seeded branch. Status: open.</w:t>
      </w:r>
    </w:p>
    <w:p>
      <w:pPr>
        <w:spacing w:after="120"/>
      </w:pPr>
      <w:r>
        <w:t xml:space="preserve"/>
      </w:r>
    </w:p>
    <w:p>
      <w:pPr>
        <w:spacing w:after="120" w:line="264" w:lineRule="exact"/>
        <w:jc w:val="both"/>
      </w:pPr>
      <w:r>
        <w:rPr>
          <w:rFonts w:ascii="Garamond" w:cs="Garamond" w:eastAsia="Garamond" w:hAnsi="Garamond"/>
          <w:sz w:val="22"/>
          <w:szCs w:val="22"/>
        </w:rPr>
        <w:t xml:space="preserve">Phase inversion symmetry I_φ as gauge symmetry of the ε–ρ–R system. Status: [PROVISIONAL — verification pending sim18].</w:t>
      </w:r>
    </w:p>
    <w:p>
      <w:pPr>
        <w:spacing w:after="120"/>
      </w:pPr>
      <w:r>
        <w:t xml:space="preserve"/>
      </w:r>
    </w:p>
    <w:p>
      <w:pPr>
        <w:spacing w:after="120" w:line="264" w:lineRule="exact"/>
        <w:jc w:val="both"/>
      </w:pPr>
      <w:r>
        <w:rPr>
          <w:rFonts w:ascii="Garamond" w:cs="Garamond" w:eastAsia="Garamond" w:hAnsi="Garamond"/>
          <w:sz w:val="22"/>
          <w:szCs w:val="22"/>
        </w:rPr>
        <w:t xml:space="preserve">Corridor bifurcation into open and closed modes. Status: [PROVISIONAL — verification pending sim22].</w:t>
      </w:r>
    </w:p>
    <w:p>
      <w:pPr>
        <w:spacing w:after="120"/>
      </w:pPr>
      <w:r>
        <w:t xml:space="preserve"/>
      </w:r>
    </w:p>
    <w:p>
      <w:pPr>
        <w:spacing w:after="120" w:line="264" w:lineRule="exact"/>
        <w:jc w:val="both"/>
      </w:pPr>
      <w:r>
        <w:rPr>
          <w:rFonts w:ascii="Garamond" w:cs="Garamond" w:eastAsia="Garamond" w:hAnsi="Garamond"/>
          <w:sz w:val="22"/>
          <w:szCs w:val="22"/>
        </w:rPr>
        <w:t xml:space="preserve">Full global λ_c(κ) / λ_upper(κ) surface beyond κ = 0.12. Status: open.</w:t>
      </w:r>
    </w:p>
    <w:p>
      <w:pPr>
        <w:spacing w:after="120"/>
      </w:pPr>
      <w:r>
        <w:t xml:space="preserve"/>
      </w:r>
    </w:p>
    <w:p>
      <w:pPr>
        <w:spacing w:after="120" w:line="264" w:lineRule="exact"/>
        <w:jc w:val="both"/>
      </w:pPr>
      <w:r>
        <w:rPr>
          <w:rFonts w:ascii="Garamond" w:cs="Garamond" w:eastAsia="Garamond" w:hAnsi="Garamond"/>
          <w:sz w:val="22"/>
          <w:szCs w:val="22"/>
        </w:rPr>
        <w:t xml:space="preserve">Boundary location at κ = 0.55. Status: open — the main unmapped high-κ target.</w:t>
      </w:r>
    </w:p>
    <w:p>
      <w:r>
        <w:br w:type="page"/>
      </w:r>
    </w:p>
    <w:p>
      <w:pPr>
        <w:spacing w:before="1440" w:after="240"/>
        <w:jc w:val="center"/>
      </w:pPr>
      <w:r>
        <w:rPr>
          <w:rFonts w:ascii="Garamond" w:cs="Garamond" w:eastAsia="Garamond" w:hAnsi="Garamond"/>
          <w:color w:val="888888"/>
          <w:sz w:val="28"/>
          <w:szCs w:val="28"/>
        </w:rPr>
        <w:t xml:space="preserve">Part II</w:t>
      </w:r>
    </w:p>
    <w:p>
      <w:pPr>
        <w:spacing w:before="0" w:after="480"/>
        <w:jc w:val="center"/>
      </w:pPr>
      <w:r>
        <w:rPr>
          <w:rFonts w:ascii="Garamond" w:cs="Garamond" w:eastAsia="Garamond" w:hAnsi="Garamond"/>
          <w:b/>
          <w:bCs/>
          <w:sz w:val="40"/>
          <w:szCs w:val="40"/>
        </w:rPr>
        <w:t xml:space="preserve">The Empirical Record</w:t>
      </w:r>
    </w:p>
    <w:p>
      <w:r>
        <w:br w:type="page"/>
      </w:r>
    </w:p>
    <w:p>
      <w:r>
        <w:br w:type="page"/>
      </w:r>
    </w:p>
    <w:p>
      <w:pPr>
        <w:spacing w:before="720" w:after="120"/>
      </w:pPr>
      <w:r>
        <w:rPr>
          <w:rFonts w:ascii="Garamond" w:cs="Garamond" w:eastAsia="Garamond" w:hAnsi="Garamond"/>
          <w:color w:val="888888"/>
          <w:sz w:val="22"/>
          <w:szCs w:val="22"/>
        </w:rPr>
        <w:t xml:space="preserve">Chapter 4</w:t>
      </w:r>
    </w:p>
    <w:p>
      <w:pPr>
        <w:pStyle w:val="Heading1"/>
        <w:spacing w:before="0" w:after="120"/>
      </w:pPr>
      <w:r>
        <w:rPr>
          <w:rFonts w:ascii="Garamond" w:cs="Garamond" w:eastAsia="Garamond" w:hAnsi="Garamond"/>
          <w:b/>
          <w:bCs/>
          <w:sz w:val="36"/>
          <w:szCs w:val="36"/>
        </w:rPr>
        <w:t xml:space="preserve">The Anchor Regimes</w:t>
      </w:r>
    </w:p>
    <w:p>
      <w:pPr>
        <w:spacing w:before="0" w:after="480"/>
      </w:pPr>
      <w:r>
        <w:rPr>
          <w:rFonts w:ascii="Garamond" w:cs="Garamond" w:eastAsia="Garamond" w:hAnsi="Garamond"/>
          <w:i/>
          <w:iCs/>
          <w:sz w:val="24"/>
          <w:szCs w:val="24"/>
        </w:rPr>
        <w:t xml:space="preserve">Three Verified Endpoints of Continuation</w:t>
      </w:r>
    </w:p>
    <w:p>
      <w:pPr>
        <w:spacing w:after="120" w:line="264" w:lineRule="exact"/>
        <w:jc w:val="both"/>
      </w:pPr>
      <w:r>
        <w:rPr>
          <w:rFonts w:ascii="Garamond" w:cs="Garamond" w:eastAsia="Garamond" w:hAnsi="Garamond"/>
          <w:sz w:val="22"/>
          <w:szCs w:val="22"/>
        </w:rPr>
        <w:t xml:space="preserve">Phase 1 of the rerun program established three verified anchor points in parameter space. These anchors serve as calibration targets for all subsequent work. They are the negative SRC reference (SS2), the positive runaway reference (R2), and the coexistence regime center point (SS3). All three were produced under the v2.3 metric schema with 8 seeds, 3 initial condition families, T_max = 2000, and Nx = 1024.</w:t>
      </w:r>
    </w:p>
    <w:p>
      <w:pPr>
        <w:spacing w:after="120"/>
      </w:pPr>
      <w:r>
        <w:t xml:space="preserve"/>
      </w:r>
    </w:p>
    <w:p>
      <w:pPr>
        <w:pStyle w:val="Heading2"/>
        <w:spacing w:before="360" w:after="180"/>
      </w:pPr>
      <w:r>
        <w:rPr>
          <w:rFonts w:ascii="Garamond" w:cs="Garamond" w:eastAsia="Garamond" w:hAnsi="Garamond"/>
          <w:b/>
          <w:bCs/>
          <w:sz w:val="26"/>
          <w:szCs w:val="26"/>
        </w:rPr>
        <w:t xml:space="preserve">4.1  The SS2 Anchor: Continuation Without Exclusion</w:t>
      </w:r>
    </w:p>
    <w:p>
      <w:pPr>
        <w:spacing w:after="120" w:line="264" w:lineRule="exact"/>
        <w:jc w:val="both"/>
      </w:pPr>
      <w:r>
        <w:rPr>
          <w:rFonts w:ascii="Garamond" w:cs="Garamond" w:eastAsia="Garamond" w:hAnsi="Garamond"/>
          <w:sz w:val="22"/>
          <w:szCs w:val="22"/>
        </w:rPr>
        <w:t xml:space="preserve">At κ = 0.0005 and λ = 0.25, the inscription dominance parameter Π = κ/λ = 0.002. Residue generation is negligible. The topology-writing rate is so small that the R equation is effectively decoupled from the ε dynamics. Without residue-mediated amplification, exclusion cannot sustain itself and collapses. Continuation takes over.</w:t>
      </w:r>
    </w:p>
    <w:p>
      <w:pPr>
        <w:spacing w:after="120"/>
      </w:pPr>
      <w:r>
        <w:t xml:space="preserve"/>
      </w:r>
    </w:p>
    <w:p>
      <w:pPr>
        <w:spacing w:after="120" w:line="264" w:lineRule="exact"/>
        <w:jc w:val="both"/>
      </w:pPr>
      <w:r>
        <w:rPr>
          <w:rFonts w:ascii="Garamond" w:cs="Garamond" w:eastAsia="Garamond" w:hAnsi="Garamond"/>
          <w:sz w:val="22"/>
          <w:szCs w:val="22"/>
        </w:rPr>
        <w:t xml:space="preserve">All 24 runs — across 8 seeds and 3 IC families — produced unanimous SS2. The runner classified every run as collapse_to_pressure. The analyzer classified the parameter point as SS2 dominant. The two levels are consistent here: the dynamics collapse the exclusion structure, and the final state has no exclusion surviving.</w:t>
      </w:r>
    </w:p>
    <w:p>
      <w:pPr>
        <w:spacing w:after="120"/>
      </w:pPr>
      <w:r>
        <w:t xml:space="preserve"/>
      </w:r>
    </w:p>
    <w:p>
      <w:pPr>
        <w:spacing w:after="120" w:line="264" w:lineRule="exact"/>
        <w:jc w:val="both"/>
      </w:pPr>
      <w:r>
        <w:rPr>
          <w:rFonts w:ascii="Garamond" w:cs="Garamond" w:eastAsia="Garamond" w:hAnsi="Garamond"/>
          <w:sz w:val="22"/>
          <w:szCs w:val="22"/>
        </w:rPr>
        <w:t xml:space="preserve">The key metric is the convergence of mean final ρ to exactly α/γ = 1.05/0.45 = 2.333. This is not an approximation. It is exact to available floating-point precision across all 24 runs. This precision is a verification signal of the first order: it means the solver is computing the correct homogeneous fixed point of the ρ equation, and the system is reaching it cleanly.</w:t>
      </w:r>
    </w:p>
    <w:p>
      <w:pPr>
        <w:spacing w:after="120"/>
      </w:pPr>
      <w:r>
        <w:t xml:space="preserve"/>
      </w:r>
    </w:p>
    <w:p>
      <w:pPr>
        <w:spacing w:after="120" w:line="264" w:lineRule="exact"/>
        <w:jc w:val="both"/>
      </w:pPr>
      <w:r>
        <w:rPr>
          <w:rFonts w:ascii="Garamond" w:cs="Garamond" w:eastAsia="Garamond" w:hAnsi="Garamond"/>
          <w:sz w:val="22"/>
          <w:szCs w:val="22"/>
        </w:rPr>
        <w:t xml:space="preserve">The three IC families differ in their transient geometry but converge to the same endpoint. The front_seeded IC leaves a residual front structure with non-zero late-time width and sharpness. The near_uniform_noise IC produces broader transient front geometry. The localized_seed IC shows a degenerate no-front diagnostic (front_width = 1e6 sentinel) because no interface forms. All three reach SS2. The transient differences carry information about how the dynamics approach the fixed point but not about which fixed point is reached.</w:t>
      </w:r>
    </w:p>
    <w:p>
      <w:pPr>
        <w:spacing w:after="120"/>
      </w:pPr>
      <w:r>
        <w:t xml:space="preserve"/>
      </w:r>
    </w:p>
    <w:p>
      <w:pPr>
        <w:spacing w:after="120" w:line="264" w:lineRule="exact"/>
        <w:jc w:val="both"/>
      </w:pPr>
      <w:r>
        <w:rPr>
          <w:rFonts w:ascii="Garamond" w:cs="Garamond" w:eastAsia="Garamond" w:hAnsi="Garamond"/>
          <w:sz w:val="22"/>
          <w:szCs w:val="22"/>
        </w:rPr>
        <w:t xml:space="preserve">The mean interface loss time is 2.0 out of T_max = 2000. Interfaces, where they form at all, collapse within the first 0.1% of the run duration. SS2 is not merely a final-state attractor. It is a fast attractor. Any structure that survives past t = 2 is already behaving meaningfully differently from SS2.</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SS2: 24/24 unanimous, all IC families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mean_final_rho = 2.3333 = α/γ exactly</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excl_frac = 0.0, interface_count = 0</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mean_interface_loss_time = 2.0 out of T_max = 2000</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max_observed_sharpness = 0.695 (transient only — does not survive)</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Source: sim_SS2_anchor | 2026-03-19_sim_SS2_anchor_charterV2p3_metricV1_phase1_retry1</w:t>
            </w:r>
          </w:p>
        </w:tc>
      </w:tr>
    </w:tbl>
    <w:p>
      <w:pPr>
        <w:spacing w:after="120"/>
      </w:pPr>
      <w:r>
        <w:t xml:space="preserve"/>
      </w:r>
    </w:p>
    <w:p>
      <w:pPr>
        <w:spacing w:after="120" w:line="264" w:lineRule="exact"/>
        <w:jc w:val="both"/>
      </w:pPr>
      <w:r>
        <w:rPr>
          <w:rFonts w:ascii="Garamond" w:cs="Garamond" w:eastAsia="Garamond" w:hAnsi="Garamond"/>
          <w:sz w:val="22"/>
          <w:szCs w:val="22"/>
        </w:rPr>
        <w:t xml:space="preserve">The SRC proxy negative case: in SS2, D_sr_proxy ≈ 4 × 10⁻³²² (machine zero) across all runs. K_proxy = 0. The SRC criteria are structurally blocked in this regime. κ ≈ 0 eliminates residue generation at the source, so the dominance criterion cannot be met regardless of λ or IC type. SS2 is the zero-point normalization target for SRC proxy comparisons.</w:t>
      </w:r>
    </w:p>
    <w:p>
      <w:pPr>
        <w:spacing w:after="120"/>
      </w:pPr>
      <w:r>
        <w:t xml:space="preserve"/>
      </w:r>
    </w:p>
    <w:p>
      <w:pPr>
        <w:pStyle w:val="Heading2"/>
        <w:spacing w:before="360" w:after="180"/>
      </w:pPr>
      <w:r>
        <w:rPr>
          <w:rFonts w:ascii="Garamond" w:cs="Garamond" w:eastAsia="Garamond" w:hAnsi="Garamond"/>
          <w:b/>
          <w:bCs/>
          <w:sz w:val="26"/>
          <w:szCs w:val="26"/>
        </w:rPr>
        <w:t xml:space="preserve">4.2  The R2 Anchor: Continuation Terminating Under Exclusion</w:t>
      </w:r>
    </w:p>
    <w:p>
      <w:pPr>
        <w:spacing w:after="120" w:line="264" w:lineRule="exact"/>
        <w:jc w:val="both"/>
      </w:pPr>
      <w:r>
        <w:rPr>
          <w:rFonts w:ascii="Garamond" w:cs="Garamond" w:eastAsia="Garamond" w:hAnsi="Garamond"/>
          <w:sz w:val="22"/>
          <w:szCs w:val="22"/>
        </w:rPr>
        <w:t xml:space="preserve">At κ = 0.55 and λ = 0.10, Π = 5.5. Exclusion is strongly dominant. Residue is written rapidly and persists long enough to amplify further exclusion before it decays. The continuation-sustaining expression is overwhelmed. Exclusion takes over completely.</w:t>
      </w:r>
    </w:p>
    <w:p>
      <w:pPr>
        <w:spacing w:after="120"/>
      </w:pPr>
      <w:r>
        <w:t xml:space="preserve"/>
      </w:r>
    </w:p>
    <w:p>
      <w:pPr>
        <w:spacing w:after="120" w:line="264" w:lineRule="exact"/>
        <w:jc w:val="both"/>
      </w:pPr>
      <w:r>
        <w:rPr>
          <w:rFonts w:ascii="Garamond" w:cs="Garamond" w:eastAsia="Garamond" w:hAnsi="Garamond"/>
          <w:sz w:val="22"/>
          <w:szCs w:val="22"/>
        </w:rPr>
        <w:t xml:space="preserve">All 24 runs produced unanimous runaway. The runner classified every run as runaway_or_unphysical. The analyzer classified the parameter point as runaway dominant. Final exclusion fraction = 1.0 across all runs. Final interface count = 0. This is the hardest possible outcome: complete exclusion completion with nothing surviving.</w:t>
      </w:r>
    </w:p>
    <w:p>
      <w:pPr>
        <w:spacing w:after="120"/>
      </w:pPr>
      <w:r>
        <w:t xml:space="preserve"/>
      </w:r>
    </w:p>
    <w:p>
      <w:pPr>
        <w:spacing w:after="120" w:line="264" w:lineRule="exact"/>
        <w:jc w:val="both"/>
      </w:pPr>
      <w:r>
        <w:rPr>
          <w:rFonts w:ascii="Garamond" w:cs="Garamond" w:eastAsia="Garamond" w:hAnsi="Garamond"/>
          <w:sz w:val="22"/>
          <w:szCs w:val="22"/>
        </w:rPr>
        <w:t xml:space="preserve">The IC pathway class timing structure is preserved at this anchor. IC1 (near_uniform_noise) collapses fastest, at approximately t = 2. IC0 (front_seeded) and IC2 (localized_seed) collapse at approximately t = 5 to 7. The timing is IC-quantized: the initial geometry determines the collapse pathway, and different geometries produce different but reproducible timings.</w:t>
      </w:r>
    </w:p>
    <w:p>
      <w:pPr>
        <w:spacing w:after="120"/>
      </w:pPr>
      <w:r>
        <w:t xml:space="preserve"/>
      </w:r>
    </w:p>
    <w:p>
      <w:pPr>
        <w:spacing w:after="120" w:line="264" w:lineRule="exact"/>
        <w:jc w:val="both"/>
      </w:pPr>
      <w:r>
        <w:rPr>
          <w:rFonts w:ascii="Garamond" w:cs="Garamond" w:eastAsia="Garamond" w:hAnsi="Garamond"/>
          <w:sz w:val="22"/>
          <w:szCs w:val="22"/>
        </w:rPr>
        <w:t xml:space="preserve">This IC-quantized timing is the signature of the R2a and R2b sub-regimes. The distributed fragmentation of IC1 produces immediate global coverage. The structured interface of IC0 produces a single-front propagation that completes more slowly. The split geometry of IC2 produces intermediate timing. All three reach the same endpoint but by distinguishable routes.</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R2: 24/24 unanimous, all IC families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excl_frac = 1.0, interface_count = 0</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IC pathway class timing: IC1 t≈2, IC0/IC2 t≈5–7</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Source: sim_R2_anchor | 2026-03-19_sim_R2_anchor_charterV2p3_metricV1_phase1</w:t>
            </w:r>
          </w:p>
        </w:tc>
      </w:tr>
    </w:tbl>
    <w:p>
      <w:pPr>
        <w:spacing w:after="120"/>
      </w:pPr>
      <w:r>
        <w:t xml:space="preserve"/>
      </w:r>
    </w:p>
    <w:p>
      <w:pPr>
        <w:pStyle w:val="Heading2"/>
        <w:spacing w:before="360" w:after="180"/>
      </w:pPr>
      <w:r>
        <w:rPr>
          <w:rFonts w:ascii="Garamond" w:cs="Garamond" w:eastAsia="Garamond" w:hAnsi="Garamond"/>
          <w:b/>
          <w:bCs/>
          <w:sz w:val="26"/>
          <w:szCs w:val="26"/>
        </w:rPr>
        <w:t xml:space="preserve">4.3  The SS3 Anchor: Constraint Regime Forming and Sustaining</w:t>
      </w:r>
    </w:p>
    <w:p>
      <w:pPr>
        <w:spacing w:after="120" w:line="264" w:lineRule="exact"/>
        <w:jc w:val="both"/>
      </w:pPr>
      <w:r>
        <w:rPr>
          <w:rFonts w:ascii="Garamond" w:cs="Garamond" w:eastAsia="Garamond" w:hAnsi="Garamond"/>
          <w:sz w:val="22"/>
          <w:szCs w:val="22"/>
        </w:rPr>
        <w:t xml:space="preserve">At κ = 0.05 and λ = 0.043, Π = 1.163. The inscription dominance parameter is near 1 — near the balance point between exclusion-dominant and alignment-dominant behavior. This is the parameter point where the framework predicts the coexistence regime should be accessible.</w:t>
      </w:r>
    </w:p>
    <w:p>
      <w:pPr>
        <w:spacing w:after="120"/>
      </w:pPr>
      <w:r>
        <w:t xml:space="preserve"/>
      </w:r>
    </w:p>
    <w:p>
      <w:pPr>
        <w:spacing w:after="120" w:line="264" w:lineRule="exact"/>
        <w:jc w:val="both"/>
      </w:pPr>
      <w:r>
        <w:rPr>
          <w:rFonts w:ascii="Garamond" w:cs="Garamond" w:eastAsia="Garamond" w:hAnsi="Garamond"/>
          <w:sz w:val="22"/>
          <w:szCs w:val="22"/>
        </w:rPr>
        <w:t xml:space="preserve">The SS3 anchor result is more complex than the SS2 or R2 anchors because it is IC-branch specific. The main anchor batch produced 24 runs across 8 seeds and 3 IC families. The dominant regime is SS3 and mean_interfaces = 1.0, which is the correct prior-finding character. But unanimity = false: not all 24 runs reached SS3.</w:t>
      </w:r>
    </w:p>
    <w:p>
      <w:pPr>
        <w:spacing w:after="120"/>
      </w:pPr>
      <w:r>
        <w:t xml:space="preserve"/>
      </w:r>
    </w:p>
    <w:p>
      <w:pPr>
        <w:spacing w:after="120" w:line="264" w:lineRule="exact"/>
        <w:jc w:val="both"/>
      </w:pPr>
      <w:r>
        <w:rPr>
          <w:rFonts w:ascii="Garamond" w:cs="Garamond" w:eastAsia="Garamond" w:hAnsi="Garamond"/>
          <w:sz w:val="22"/>
          <w:szCs w:val="22"/>
        </w:rPr>
        <w:t xml:space="preserve">The followup shards resolved this. The near_uniform_noise IC produced unanimous runaway at lambda = 0.043. The front_seeded IC produced SS3. The localized_seed outcome requires run-level verification from the main batch CSV, but the prior findings suggest it reaches SS3 only at lower-edge onset points, not at the anchor parameter.</w:t>
      </w:r>
    </w:p>
    <w:p>
      <w:pPr>
        <w:spacing w:after="120"/>
      </w:pPr>
      <w:r>
        <w:t xml:space="preserve"/>
      </w:r>
    </w:p>
    <w:p>
      <w:pPr>
        <w:spacing w:after="120" w:line="264" w:lineRule="exact"/>
        <w:jc w:val="both"/>
      </w:pPr>
      <w:r>
        <w:rPr>
          <w:rFonts w:ascii="Garamond" w:cs="Garamond" w:eastAsia="Garamond" w:hAnsi="Garamond"/>
          <w:sz w:val="22"/>
          <w:szCs w:val="22"/>
        </w:rPr>
        <w:t xml:space="preserve">This IC-branch specificity is not a failure. It is a structural result consistent with the surface program findings. The SS3 basin is not universally accessible at κ = 0.05, λ = 0.043. The front_seeded IC provides the structured initial interface the basin requires. Near_uniform_noise overshoots to runaway because it lacks the spatial structure to nucleate a stable interface before exclusion accumulates.</w:t>
      </w:r>
    </w:p>
    <w:p>
      <w:pPr>
        <w:spacing w:after="120"/>
      </w:pPr>
      <w:r>
        <w:t xml:space="preserve"/>
      </w:r>
    </w:p>
    <w:p>
      <w:pPr>
        <w:spacing w:after="120" w:line="264" w:lineRule="exact"/>
        <w:jc w:val="both"/>
      </w:pPr>
      <w:r>
        <w:rPr>
          <w:rFonts w:ascii="Garamond" w:cs="Garamond" w:eastAsia="Garamond" w:hAnsi="Garamond"/>
          <w:sz w:val="22"/>
          <w:szCs w:val="22"/>
        </w:rPr>
        <w:t xml:space="preserve">The anchor should be cited as: SS3 confirmed for front_seeded branch at κ = 0.05, λ = 0.043. Not as: SS3 confirmed universally at κ = 0.05, λ = 0.043.</w:t>
      </w:r>
    </w:p>
    <w:p>
      <w:pPr>
        <w:spacing w:after="120"/>
      </w:pPr>
      <w:r>
        <w:t xml:space="preserve"/>
      </w:r>
    </w:p>
    <w:p>
      <w:pPr>
        <w:spacing w:after="120" w:line="264" w:lineRule="exact"/>
        <w:jc w:val="both"/>
      </w:pPr>
      <w:r>
        <w:rPr>
          <w:rFonts w:ascii="Garamond" w:cs="Garamond" w:eastAsia="Garamond" w:hAnsi="Garamond"/>
          <w:sz w:val="22"/>
          <w:szCs w:val="22"/>
        </w:rPr>
        <w:t xml:space="preserve">The SS3 anchor produced the first SRC screen hit in the rerun program: src_screen_hits = 1 in the main batch. The SRC screener found a candidate without deep metrics backing. This candidate should be examined from the run-level CSV but cannot be elevated to a verified SRC finding until deep metrics are enabled. Additionally, the followup shard at λ = 0.045 under near_uniform_noise IC produced the first deep_metrics_ok result in the rerun era, with mean_SRC_proxy = 0.296526. This is exploratory — it is not the anchor measurement, and it is at a non-anchor parameter point under the non-primary IC family — but it establishes that the proxy is computable and in a meaningful range.</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SS3 anchor (front_seeded): κ=0.05, λ=0.043 → mean_excl_frac=0.720, mean_interfaces=1.0</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SS3 not unanimous: near_uniform_noise produces runaway at identical parameters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First SRC screen hit: src_screen_hits=1 in main batch (unverified without deep metrics)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First SRC proxy positive-direction reading: 0.296526 at λ=0.045 near_uniform_noise (exploratory)</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Source: sim_SS3_anchor | 2026-03-19_sim_SS3_anchor_charterV2p3_metricV1_phase1</w:t>
            </w:r>
          </w:p>
        </w:tc>
      </w:tr>
    </w:tbl>
    <w:p>
      <w:pPr>
        <w:spacing w:after="120"/>
      </w:pPr>
      <w:r>
        <w:t xml:space="preserve"/>
      </w:r>
    </w:p>
    <w:p>
      <w:pPr>
        <w:pStyle w:val="Heading2"/>
        <w:spacing w:before="360" w:after="180"/>
      </w:pPr>
      <w:r>
        <w:rPr>
          <w:rFonts w:ascii="Garamond" w:cs="Garamond" w:eastAsia="Garamond" w:hAnsi="Garamond"/>
          <w:b/>
          <w:bCs/>
          <w:sz w:val="26"/>
          <w:szCs w:val="26"/>
        </w:rPr>
        <w:t xml:space="preserve">4.4  The Pi Ratio and What It Measures</w:t>
      </w:r>
    </w:p>
    <w:p>
      <w:pPr>
        <w:spacing w:after="120" w:line="264" w:lineRule="exact"/>
        <w:jc w:val="both"/>
      </w:pPr>
      <w:r>
        <w:rPr>
          <w:rFonts w:ascii="Garamond" w:cs="Garamond" w:eastAsia="Garamond" w:hAnsi="Garamond"/>
          <w:sz w:val="22"/>
          <w:szCs w:val="22"/>
        </w:rPr>
        <w:t xml:space="preserve">The inscription dominance parameter Π = κ/λ deserves direct attention because it is the single quantity that most concisely locates a parameter point in regime space.</w:t>
      </w:r>
    </w:p>
    <w:p>
      <w:pPr>
        <w:spacing w:after="120"/>
      </w:pPr>
      <w:r>
        <w:t xml:space="preserve"/>
      </w:r>
    </w:p>
    <w:p>
      <w:pPr>
        <w:spacing w:after="120" w:line="264" w:lineRule="exact"/>
        <w:jc w:val="both"/>
      </w:pPr>
      <w:r>
        <w:rPr>
          <w:rFonts w:ascii="Garamond" w:cs="Garamond" w:eastAsia="Garamond" w:hAnsi="Garamond"/>
          <w:sz w:val="22"/>
          <w:szCs w:val="22"/>
        </w:rPr>
        <w:t xml:space="preserve">Π = 0.002 (SS2 anchor): residue-writing rate is 500 times slower than residue decay. Constraint topology cannot accumulate. The process sustains without the residue-mediated exclusion loop engaging.</w:t>
      </w:r>
    </w:p>
    <w:p>
      <w:pPr>
        <w:spacing w:after="120"/>
      </w:pPr>
      <w:r>
        <w:t xml:space="preserve"/>
      </w:r>
    </w:p>
    <w:p>
      <w:pPr>
        <w:spacing w:after="120" w:line="264" w:lineRule="exact"/>
        <w:jc w:val="both"/>
      </w:pPr>
      <w:r>
        <w:rPr>
          <w:rFonts w:ascii="Garamond" w:cs="Garamond" w:eastAsia="Garamond" w:hAnsi="Garamond"/>
          <w:sz w:val="22"/>
          <w:szCs w:val="22"/>
        </w:rPr>
        <w:t xml:space="preserve">Π = 1.163 (SS3 anchor): residue-writing and residue-decay rates are near balance. Constraint topology accumulates slowly and the process must sustain against it. This is the regime where the balance between building and eroding constraint structure is closest to even.</w:t>
      </w:r>
    </w:p>
    <w:p>
      <w:pPr>
        <w:spacing w:after="120"/>
      </w:pPr>
      <w:r>
        <w:t xml:space="preserve"/>
      </w:r>
    </w:p>
    <w:p>
      <w:pPr>
        <w:spacing w:after="120" w:line="264" w:lineRule="exact"/>
        <w:jc w:val="both"/>
      </w:pPr>
      <w:r>
        <w:rPr>
          <w:rFonts w:ascii="Garamond" w:cs="Garamond" w:eastAsia="Garamond" w:hAnsi="Garamond"/>
          <w:sz w:val="22"/>
          <w:szCs w:val="22"/>
        </w:rPr>
        <w:t xml:space="preserve">Π = 5.5 (R2 anchor): residue-writing rate is 5.5 times the decay rate. Constraint topology accumulates rapidly. The exclusion loop overwhelms continuation.</w:t>
      </w:r>
    </w:p>
    <w:p>
      <w:pPr>
        <w:spacing w:after="120"/>
      </w:pPr>
      <w:r>
        <w:t xml:space="preserve"/>
      </w:r>
    </w:p>
    <w:p>
      <w:pPr>
        <w:spacing w:after="120" w:line="264" w:lineRule="exact"/>
        <w:jc w:val="both"/>
      </w:pPr>
      <w:r>
        <w:rPr>
          <w:rFonts w:ascii="Garamond" w:cs="Garamond" w:eastAsia="Garamond" w:hAnsi="Garamond"/>
          <w:sz w:val="22"/>
          <w:szCs w:val="22"/>
        </w:rPr>
        <w:t xml:space="preserve">The three anchor regimes bracket the behavioral space of the system at the coarsest level. Every parameter point in the simulation record can be located relative to these three anchors by its Π value. The full surface mapping of Chapter 5 shows how the SS3 accessible band changes shape as κ and λ vary while Π remains near 1.</w:t>
      </w:r>
    </w:p>
    <w:p>
      <w:r>
        <w:br w:type="page"/>
      </w:r>
    </w:p>
    <w:p>
      <w:pPr>
        <w:spacing w:before="720" w:after="120"/>
      </w:pPr>
      <w:r>
        <w:rPr>
          <w:rFonts w:ascii="Garamond" w:cs="Garamond" w:eastAsia="Garamond" w:hAnsi="Garamond"/>
          <w:color w:val="888888"/>
          <w:sz w:val="22"/>
          <w:szCs w:val="22"/>
        </w:rPr>
        <w:t xml:space="preserve">Chapter 5</w:t>
      </w:r>
    </w:p>
    <w:p>
      <w:pPr>
        <w:pStyle w:val="Heading1"/>
        <w:spacing w:before="0" w:after="120"/>
      </w:pPr>
      <w:r>
        <w:rPr>
          <w:rFonts w:ascii="Garamond" w:cs="Garamond" w:eastAsia="Garamond" w:hAnsi="Garamond"/>
          <w:b/>
          <w:bCs/>
          <w:sz w:val="36"/>
          <w:szCs w:val="36"/>
        </w:rPr>
        <w:t xml:space="preserve">The Phase Surface</w:t>
      </w:r>
    </w:p>
    <w:p>
      <w:pPr>
        <w:spacing w:before="0" w:after="480"/>
      </w:pPr>
      <w:r>
        <w:rPr>
          <w:rFonts w:ascii="Garamond" w:cs="Garamond" w:eastAsia="Garamond" w:hAnsi="Garamond"/>
          <w:i/>
          <w:iCs/>
          <w:sz w:val="24"/>
          <w:szCs w:val="24"/>
        </w:rPr>
        <w:t xml:space="preserve">Mapping the SS3 Coexistence Band from κ = 0.04 to 0.12</w:t>
      </w:r>
    </w:p>
    <w:p>
      <w:pPr>
        <w:spacing w:after="120" w:line="264" w:lineRule="exact"/>
        <w:jc w:val="both"/>
      </w:pPr>
      <w:r>
        <w:rPr>
          <w:rFonts w:ascii="Garamond" w:cs="Garamond" w:eastAsia="Garamond" w:hAnsi="Garamond"/>
          <w:sz w:val="22"/>
          <w:szCs w:val="22"/>
        </w:rPr>
        <w:t xml:space="preserve">The Phase 3 program mapped the SS3 coexistence band across seven κ slices from κ = 0.04 to 0.10, then extended to κ = 0.11 and 0.12 including shelf emergence. The program used an adaptive two-edge methodology: lower-edge scans bracketed the onset of SS3 from the runaway side, upper-edge scans bracketed the exit from SS3 into SS2. All runs used Nx = 1024, T_max = 2000, front_seeded IC, and 8 seeds per parameter point.</w:t>
      </w:r>
    </w:p>
    <w:p>
      <w:pPr>
        <w:spacing w:after="120"/>
      </w:pPr>
      <w:r>
        <w:t xml:space="preserve"/>
      </w:r>
    </w:p>
    <w:p>
      <w:pPr>
        <w:pStyle w:val="Heading2"/>
        <w:spacing w:before="360" w:after="180"/>
      </w:pPr>
      <w:r>
        <w:rPr>
          <w:rFonts w:ascii="Garamond" w:cs="Garamond" w:eastAsia="Garamond" w:hAnsi="Garamond"/>
          <w:b/>
          <w:bCs/>
          <w:sz w:val="26"/>
          <w:szCs w:val="26"/>
        </w:rPr>
        <w:t xml:space="preserve">5.1  The Lower Boundary: Runaway-to-SS3 Onset</w:t>
      </w:r>
    </w:p>
    <w:p>
      <w:pPr>
        <w:spacing w:after="120" w:line="264" w:lineRule="exact"/>
        <w:jc w:val="both"/>
      </w:pPr>
      <w:r>
        <w:rPr>
          <w:rFonts w:ascii="Garamond" w:cs="Garamond" w:eastAsia="Garamond" w:hAnsi="Garamond"/>
          <w:sz w:val="22"/>
          <w:szCs w:val="22"/>
        </w:rPr>
        <w:t xml:space="preserve">The lower SS3 boundary is the locus in parameter space where the process transitions from continuation terminating under exclusion accumulation to constraint regime forming and sustaining. Crossing this boundary from below (increasing λ at fixed κ) is crossing from R2 territory into SS3 territory.</w:t>
      </w:r>
    </w:p>
    <w:p>
      <w:pPr>
        <w:spacing w:after="120"/>
      </w:pPr>
      <w:r>
        <w:t xml:space="preserve"/>
      </w:r>
    </w:p>
    <w:p>
      <w:pPr>
        <w:spacing w:after="120" w:line="264" w:lineRule="exact"/>
        <w:jc w:val="both"/>
      </w:pPr>
      <w:r>
        <w:rPr>
          <w:rFonts w:ascii="Garamond" w:cs="Garamond" w:eastAsia="Garamond" w:hAnsi="Garamond"/>
          <w:sz w:val="22"/>
          <w:szCs w:val="22"/>
        </w:rPr>
        <w:t xml:space="preserve">The lower edge rises monotonically with κ across the entire mapped range. At κ = 0.04, the lower edge sits between λ = 0.032 and 0.033. At κ = 0.10, it sits between λ = 0.088 and 0.089. The rise is approximately linear, advancing by roughly 0.010 per 0.01 increment in κ. At κ = 0.11 and 0.12, shelf structure appears at the lower boundary (discussed in Chapter 6), with the clean SS3 onset at approximately λ = 0.101 and 0.118 respectively.</w:t>
      </w:r>
    </w:p>
    <w:p>
      <w:pPr>
        <w:spacing w:after="120"/>
      </w:pPr>
      <w:r>
        <w:t xml:space="preserve"/>
      </w:r>
    </w:p>
    <w:p>
      <w:pPr>
        <w:spacing w:after="120" w:line="264" w:lineRule="exact"/>
        <w:jc w:val="both"/>
      </w:pPr>
      <w:r>
        <w:rPr>
          <w:rFonts w:ascii="Garamond" w:cs="Garamond" w:eastAsia="Garamond" w:hAnsi="Garamond"/>
          <w:sz w:val="22"/>
          <w:szCs w:val="22"/>
        </w:rPr>
        <w:t xml:space="preserve">The lower boundary transition is sharp. At each κ slice, the step from the last runaway point to the first SS3 point is a single λ step of 0.001. Both sides are seed-unanimous. This clean one-step transition is consistent with the transcritical bifurcation picture of Section 1.5, where the SS3 branch becomes locally accessible at λ_c* as a switch rather than a gradual crossover.</w:t>
      </w:r>
    </w:p>
    <w:p>
      <w:pPr>
        <w:spacing w:after="120"/>
      </w:pPr>
      <w:r>
        <w:t xml:space="preserve"/>
      </w:r>
    </w:p>
    <w:p>
      <w:pPr>
        <w:pStyle w:val="Heading2"/>
        <w:spacing w:before="360" w:after="180"/>
      </w:pPr>
      <w:r>
        <w:rPr>
          <w:rFonts w:ascii="Garamond" w:cs="Garamond" w:eastAsia="Garamond" w:hAnsi="Garamond"/>
          <w:b/>
          <w:bCs/>
          <w:sz w:val="26"/>
          <w:szCs w:val="26"/>
        </w:rPr>
        <w:t xml:space="preserve">5.2  The Upper Boundary: SS3-to-SS2 Exit</w:t>
      </w:r>
    </w:p>
    <w:p>
      <w:pPr>
        <w:spacing w:after="120" w:line="264" w:lineRule="exact"/>
        <w:jc w:val="both"/>
      </w:pPr>
      <w:r>
        <w:rPr>
          <w:rFonts w:ascii="Garamond" w:cs="Garamond" w:eastAsia="Garamond" w:hAnsi="Garamond"/>
          <w:sz w:val="22"/>
          <w:szCs w:val="22"/>
        </w:rPr>
        <w:t xml:space="preserve">The upper SS3 boundary is the locus where the process transitions from constraint regime forming and sustaining to continuation terminating before constraint regime organizes. Crossing this boundary from below (increasing λ at fixed κ) is crossing from SS3 territory into SS2 territory.</w:t>
      </w:r>
    </w:p>
    <w:p>
      <w:pPr>
        <w:spacing w:after="120"/>
      </w:pPr>
      <w:r>
        <w:t xml:space="preserve"/>
      </w:r>
    </w:p>
    <w:p>
      <w:pPr>
        <w:spacing w:after="120" w:line="264" w:lineRule="exact"/>
        <w:jc w:val="both"/>
      </w:pPr>
      <w:r>
        <w:rPr>
          <w:rFonts w:ascii="Garamond" w:cs="Garamond" w:eastAsia="Garamond" w:hAnsi="Garamond"/>
          <w:sz w:val="22"/>
          <w:szCs w:val="22"/>
        </w:rPr>
        <w:t xml:space="preserve">The upper edge rises much more steeply than the lower edge. At κ = 0.04, it sits between λ = 0.048 and 0.049 — close to the lower edge, giving a band width of only approximately 0.015. At κ = 0.05, the upper edge is between 0.113 and 0.114 — the band has grown to approximately 0.071. By κ = 0.10, the upper edge is between 0.573 and 0.574, and the band width is approximately 0.485.</w:t>
      </w:r>
    </w:p>
    <w:p>
      <w:pPr>
        <w:spacing w:after="120"/>
      </w:pPr>
      <w:r>
        <w:t xml:space="preserve"/>
      </w:r>
    </w:p>
    <w:p>
      <w:pPr>
        <w:spacing w:after="120" w:line="264" w:lineRule="exact"/>
        <w:jc w:val="both"/>
      </w:pPr>
      <w:r>
        <w:rPr>
          <w:rFonts w:ascii="Garamond" w:cs="Garamond" w:eastAsia="Garamond" w:hAnsi="Garamond"/>
          <w:sz w:val="22"/>
          <w:szCs w:val="22"/>
        </w:rPr>
        <w:t xml:space="preserve">At κ = 0.05, the upper transition has been extensively validated. The point λ = 0.113 remains SS3 at T_max = 2000, 4000, and 8000. The point λ = 0.114 remains SS2 under the same horizons. Both survive resolution checks at Nx = 512, 1024, and 2048. The transition does not drift or blur under resolution refinement. This is strong evidence that the upper boundary at κ = 0.05 is a real regime transition, not a finite-horizon artifact.</w:t>
      </w:r>
    </w:p>
    <w:p>
      <w:pPr>
        <w:spacing w:after="120"/>
      </w:pPr>
      <w:r>
        <w:t xml:space="preserve"/>
      </w:r>
    </w:p>
    <w:p>
      <w:pPr>
        <w:spacing w:after="120" w:line="264" w:lineRule="exact"/>
        <w:jc w:val="both"/>
      </w:pPr>
      <w:r>
        <w:rPr>
          <w:rFonts w:ascii="Garamond" w:cs="Garamond" w:eastAsia="Garamond" w:hAnsi="Garamond"/>
          <w:sz w:val="22"/>
          <w:szCs w:val="22"/>
        </w:rPr>
        <w:t xml:space="preserve">The upper transition type is SS3→SS2, not SS3→runaway. Above the upper edge, exclusion fraction goes to 0, mean ρ goes to α/γ = 2.333, and interface count goes to 0. The continuation-sustaining expression wins at high λ, not the exclusion expression. This means the SS3 band is bounded above by alignment-dominance and below by exclusion-dominance. The band sits in the balance between them.</w:t>
      </w:r>
    </w:p>
    <w:p>
      <w:pPr>
        <w:spacing w:after="120"/>
      </w:pPr>
      <w:r>
        <w:t xml:space="preserve"/>
      </w:r>
    </w:p>
    <w:p>
      <w:pPr>
        <w:pStyle w:val="Heading2"/>
        <w:spacing w:before="360" w:after="180"/>
      </w:pPr>
      <w:r>
        <w:rPr>
          <w:rFonts w:ascii="Garamond" w:cs="Garamond" w:eastAsia="Garamond" w:hAnsi="Garamond"/>
          <w:b/>
          <w:bCs/>
          <w:sz w:val="26"/>
          <w:szCs w:val="26"/>
        </w:rPr>
        <w:t xml:space="preserve">5.3  The Widening Band and the Rotating Surface</w:t>
      </w:r>
    </w:p>
    <w:p>
      <w:pPr>
        <w:spacing w:after="120" w:line="264" w:lineRule="exact"/>
        <w:jc w:val="both"/>
      </w:pPr>
      <w:r>
        <w:rPr>
          <w:rFonts w:ascii="Garamond" w:cs="Garamond" w:eastAsia="Garamond" w:hAnsi="Garamond"/>
          <w:sz w:val="22"/>
          <w:szCs w:val="22"/>
        </w:rPr>
        <w:t xml:space="preserve">The most important geometric result of the Phase 3 program is that the SS3 band widens strongly and consistently with increasing κ across the entire mapped range. The width sequence is:</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κ = 0.04:  width ≈ 0.015</w:t>
      </w:r>
    </w:p>
    <w:p>
      <w:pPr>
        <w:spacing w:before="120" w:after="120" w:line="264" w:lineRule="exact"/>
        <w:ind w:left="720"/>
        <w:jc w:val="left"/>
      </w:pPr>
      <w:r>
        <w:rPr>
          <w:rFonts w:ascii="Courier New" w:cs="Courier New" w:eastAsia="Courier New" w:hAnsi="Courier New"/>
          <w:sz w:val="20"/>
          <w:szCs w:val="20"/>
        </w:rPr>
        <w:t xml:space="preserve">κ = 0.05:  width ≈ 0.071</w:t>
      </w:r>
    </w:p>
    <w:p>
      <w:pPr>
        <w:spacing w:before="120" w:after="120" w:line="264" w:lineRule="exact"/>
        <w:ind w:left="720"/>
        <w:jc w:val="left"/>
      </w:pPr>
      <w:r>
        <w:rPr>
          <w:rFonts w:ascii="Courier New" w:cs="Courier New" w:eastAsia="Courier New" w:hAnsi="Courier New"/>
          <w:sz w:val="20"/>
          <w:szCs w:val="20"/>
        </w:rPr>
        <w:t xml:space="preserve">κ = 0.06:  width ≈ 0.149</w:t>
      </w:r>
    </w:p>
    <w:p>
      <w:pPr>
        <w:spacing w:before="120" w:after="120" w:line="264" w:lineRule="exact"/>
        <w:ind w:left="720"/>
        <w:jc w:val="left"/>
      </w:pPr>
      <w:r>
        <w:rPr>
          <w:rFonts w:ascii="Courier New" w:cs="Courier New" w:eastAsia="Courier New" w:hAnsi="Courier New"/>
          <w:sz w:val="20"/>
          <w:szCs w:val="20"/>
        </w:rPr>
        <w:t xml:space="preserve">κ = 0.07:  width ≈ 0.232</w:t>
      </w:r>
    </w:p>
    <w:p>
      <w:pPr>
        <w:spacing w:before="120" w:after="120" w:line="264" w:lineRule="exact"/>
        <w:ind w:left="720"/>
        <w:jc w:val="left"/>
      </w:pPr>
      <w:r>
        <w:rPr>
          <w:rFonts w:ascii="Courier New" w:cs="Courier New" w:eastAsia="Courier New" w:hAnsi="Courier New"/>
          <w:sz w:val="20"/>
          <w:szCs w:val="20"/>
        </w:rPr>
        <w:t xml:space="preserve">κ = 0.08:  width ≈ 0.316</w:t>
      </w:r>
    </w:p>
    <w:p>
      <w:pPr>
        <w:spacing w:before="120" w:after="120" w:line="264" w:lineRule="exact"/>
        <w:ind w:left="720"/>
        <w:jc w:val="left"/>
      </w:pPr>
      <w:r>
        <w:rPr>
          <w:rFonts w:ascii="Courier New" w:cs="Courier New" w:eastAsia="Courier New" w:hAnsi="Courier New"/>
          <w:sz w:val="20"/>
          <w:szCs w:val="20"/>
        </w:rPr>
        <w:t xml:space="preserve">κ = 0.09:  width ≈ 0.400</w:t>
      </w:r>
    </w:p>
    <w:p>
      <w:pPr>
        <w:spacing w:before="120" w:after="120" w:line="264" w:lineRule="exact"/>
        <w:ind w:left="720"/>
        <w:jc w:val="left"/>
      </w:pPr>
      <w:r>
        <w:rPr>
          <w:rFonts w:ascii="Courier New" w:cs="Courier New" w:eastAsia="Courier New" w:hAnsi="Courier New"/>
          <w:sz w:val="20"/>
          <w:szCs w:val="20"/>
        </w:rPr>
        <w:t xml:space="preserve">κ = 0.10:  width ≈ 0.485</w:t>
      </w:r>
    </w:p>
    <w:p>
      <w:pPr>
        <w:spacing w:before="120" w:after="120" w:line="264" w:lineRule="exact"/>
        <w:ind w:left="720"/>
        <w:jc w:val="left"/>
      </w:pPr>
      <w:r>
        <w:rPr>
          <w:rFonts w:ascii="Courier New" w:cs="Courier New" w:eastAsia="Courier New" w:hAnsi="Courier New"/>
          <w:sz w:val="20"/>
          <w:szCs w:val="20"/>
        </w:rPr>
        <w:t xml:space="preserve">κ = 0.11:  width ≈ 0.560 (interior, between shelf boundaries)</w:t>
      </w:r>
    </w:p>
    <w:p>
      <w:pPr>
        <w:spacing w:before="120" w:after="120" w:line="264" w:lineRule="exact"/>
        <w:ind w:left="720"/>
        <w:jc w:val="left"/>
      </w:pPr>
      <w:r>
        <w:rPr>
          <w:rFonts w:ascii="Courier New" w:cs="Courier New" w:eastAsia="Courier New" w:hAnsi="Courier New"/>
          <w:sz w:val="20"/>
          <w:szCs w:val="20"/>
        </w:rPr>
        <w:t xml:space="preserve">κ = 0.12:  width ≈ 0.626 (interior, between shelf boundaries)</w:t>
      </w:r>
    </w:p>
    <w:p>
      <w:pPr>
        <w:spacing w:after="120"/>
      </w:pPr>
      <w:r>
        <w:t xml:space="preserve"/>
      </w:r>
    </w:p>
    <w:p>
      <w:pPr>
        <w:spacing w:after="120" w:line="264" w:lineRule="exact"/>
        <w:jc w:val="both"/>
      </w:pPr>
      <w:r>
        <w:rPr>
          <w:rFonts w:ascii="Garamond" w:cs="Garamond" w:eastAsia="Garamond" w:hAnsi="Garamond"/>
          <w:sz w:val="22"/>
          <w:szCs w:val="22"/>
        </w:rPr>
        <w:t xml:space="preserve">This is not saturation. The width is still growing at κ = 0.12. The band is not a fixed corridor that happens to be accessible from one parameter entry point. It is an expanding wedge in (κ, λ) space.</w:t>
      </w:r>
    </w:p>
    <w:p>
      <w:pPr>
        <w:spacing w:after="120"/>
      </w:pPr>
      <w:r>
        <w:t xml:space="preserve"/>
      </w:r>
    </w:p>
    <w:p>
      <w:pPr>
        <w:spacing w:after="120" w:line="264" w:lineRule="exact"/>
        <w:jc w:val="both"/>
      </w:pPr>
      <w:r>
        <w:rPr>
          <w:rFonts w:ascii="Garamond" w:cs="Garamond" w:eastAsia="Garamond" w:hAnsi="Garamond"/>
          <w:sz w:val="22"/>
          <w:szCs w:val="22"/>
        </w:rPr>
        <w:t xml:space="preserve">The widening arises because the lower edge and upper edge rise at different rates. The lower edge rises at approximately 0.010 per κ step. The upper edge rises at approximately 0.093 per κ step — nearly ten times faster. The upper boundary pulls away from the lower boundary at an accelerating rate as κ increases.</w:t>
      </w:r>
    </w:p>
    <w:p>
      <w:pPr>
        <w:spacing w:after="120"/>
      </w:pPr>
      <w:r>
        <w:t xml:space="preserve"/>
      </w:r>
    </w:p>
    <w:p>
      <w:pPr>
        <w:spacing w:after="120" w:line="264" w:lineRule="exact"/>
        <w:jc w:val="both"/>
      </w:pPr>
      <w:r>
        <w:rPr>
          <w:rFonts w:ascii="Garamond" w:cs="Garamond" w:eastAsia="Garamond" w:hAnsi="Garamond"/>
          <w:sz w:val="22"/>
          <w:szCs w:val="22"/>
        </w:rPr>
        <w:t xml:space="preserve">This asymmetric rate has a structural interpretation. The lower edge is governed by the bifurcation condition λ_c* = uκ/(bα/γ − a), which rises linearly with κ. The upper edge is governed by a different condition — the loss of SS3 stability from above — which rises more steeply. The two boundaries are controlled by different mechanisms, and the wedge shape reflects the ratio of those mechanisms' kappa-dependences.</w:t>
      </w:r>
    </w:p>
    <w:p>
      <w:pPr>
        <w:spacing w:after="120"/>
      </w:pPr>
      <w:r>
        <w:t xml:space="preserve"/>
      </w:r>
    </w:p>
    <w:p>
      <w:pPr>
        <w:pStyle w:val="Heading2"/>
        <w:spacing w:before="360" w:after="180"/>
      </w:pPr>
      <w:r>
        <w:rPr>
          <w:rFonts w:ascii="Garamond" w:cs="Garamond" w:eastAsia="Garamond" w:hAnsi="Garamond"/>
          <w:b/>
          <w:bCs/>
          <w:sz w:val="26"/>
          <w:szCs w:val="26"/>
        </w:rPr>
        <w:t xml:space="preserve">5.4  The Rotating Surface — The Zipper Geometry</w:t>
      </w:r>
    </w:p>
    <w:p>
      <w:pPr>
        <w:spacing w:after="120" w:line="264" w:lineRule="exact"/>
        <w:jc w:val="both"/>
      </w:pPr>
      <w:r>
        <w:rPr>
          <w:rFonts w:ascii="Garamond" w:cs="Garamond" w:eastAsia="Garamond" w:hAnsi="Garamond"/>
          <w:sz w:val="22"/>
          <w:szCs w:val="22"/>
        </w:rPr>
        <w:t xml:space="preserve">The surface is not only widening. It is rotating. At κ = 0.04, the SS3 band spans λ = 0.033 to 0.049. At κ = 0.05, the band spans λ = 0.042 to 0.114. A parameter point at λ = 0.043 is inside the SS3 band at κ = 0.05 but is already near the lower edge at κ = 0.04 and would be runaway at κ = 0.035. The same λ value is SS3 at one κ and runaway at another.</w:t>
      </w:r>
    </w:p>
    <w:p>
      <w:pPr>
        <w:spacing w:after="120"/>
      </w:pPr>
      <w:r>
        <w:t xml:space="preserve"/>
      </w:r>
    </w:p>
    <w:p>
      <w:pPr>
        <w:spacing w:after="120" w:line="264" w:lineRule="exact"/>
        <w:jc w:val="both"/>
      </w:pPr>
      <w:r>
        <w:rPr>
          <w:rFonts w:ascii="Garamond" w:cs="Garamond" w:eastAsia="Garamond" w:hAnsi="Garamond"/>
          <w:sz w:val="22"/>
          <w:szCs w:val="22"/>
        </w:rPr>
        <w:t xml:space="preserve">The surface in (κ, λ) space is tilted. Moving along the κ axis at fixed λ traces a path that enters and exits the SS3 band as κ changes. The band is not a horizontal strip in this plane. It is a wedge that rises faster on its upper side than on its lower side as κ increases.</w:t>
      </w:r>
    </w:p>
    <w:p>
      <w:pPr>
        <w:spacing w:after="120"/>
      </w:pPr>
      <w:r>
        <w:t xml:space="preserve"/>
      </w:r>
    </w:p>
    <w:p>
      <w:pPr>
        <w:spacing w:after="120" w:line="264" w:lineRule="exact"/>
        <w:jc w:val="both"/>
      </w:pPr>
      <w:r>
        <w:rPr>
          <w:rFonts w:ascii="Garamond" w:cs="Garamond" w:eastAsia="Garamond" w:hAnsi="Garamond"/>
          <w:sz w:val="22"/>
          <w:szCs w:val="22"/>
        </w:rPr>
        <w:t xml:space="preserve">An analogy that captures the geometry is DNA unzipping. In DNA, the zipper front is where the double-stranded structure gives way to two single strands. Each strand runs antiparallel to the other. The zipper front is where antiparallel orientations are momentarily in the same location.</w:t>
      </w:r>
    </w:p>
    <w:p>
      <w:pPr>
        <w:spacing w:after="120"/>
      </w:pPr>
      <w:r>
        <w:t xml:space="preserve"/>
      </w:r>
    </w:p>
    <w:p>
      <w:pPr>
        <w:spacing w:after="120" w:line="264" w:lineRule="exact"/>
        <w:jc w:val="both"/>
      </w:pPr>
      <w:r>
        <w:rPr>
          <w:rFonts w:ascii="Garamond" w:cs="Garamond" w:eastAsia="Garamond" w:hAnsi="Garamond"/>
          <w:sz w:val="22"/>
          <w:szCs w:val="22"/>
        </w:rPr>
        <w:t xml:space="preserve">The SS3 band in (κ, λ) space has the same character. The lower edge is the locus where the exclusion-dominant attractor gives way to SS3. The upper edge is the locus where SS3 gives way to the alignment-dominant attractor. These two attractors run in opposite orientations — one is exclusion-dominant, the other alignment-dominant. The SS3 band is the region where both orientations are simultaneously present, balanced against each other. As κ increases, the band shifts in λ space (the lower edge rises) while simultaneously expanding (the upper edge rises faster). The band is rotating and widening simultaneously, like a zipper that both advances and opens.</w:t>
      </w:r>
    </w:p>
    <w:p>
      <w:pPr>
        <w:spacing w:after="120"/>
      </w:pPr>
      <w:r>
        <w:t xml:space="preserve"/>
      </w:r>
    </w:p>
    <w:p>
      <w:pPr>
        <w:pStyle w:val="Heading2"/>
        <w:spacing w:before="360" w:after="180"/>
      </w:pPr>
      <w:r>
        <w:rPr>
          <w:rFonts w:ascii="Garamond" w:cs="Garamond" w:eastAsia="Garamond" w:hAnsi="Garamond"/>
          <w:b/>
          <w:bCs/>
          <w:sz w:val="26"/>
          <w:szCs w:val="26"/>
        </w:rPr>
        <w:t xml:space="preserve">5.5  IC Accessibility Structure on the Surface</w:t>
      </w:r>
    </w:p>
    <w:p>
      <w:pPr>
        <w:spacing w:after="120" w:line="264" w:lineRule="exact"/>
        <w:jc w:val="both"/>
      </w:pPr>
      <w:r>
        <w:rPr>
          <w:rFonts w:ascii="Garamond" w:cs="Garamond" w:eastAsia="Garamond" w:hAnsi="Garamond"/>
          <w:sz w:val="22"/>
          <w:szCs w:val="22"/>
        </w:rPr>
        <w:t xml:space="preserve">The Phase 3 surface geometry was mapped primarily using the front_seeded IC family. The IC accessibility structure reveals that the surface is not a full IC-agnostic attractor sheet. It is a region accessible to certain entry geometries and inaccessible to others.</w:t>
      </w:r>
    </w:p>
    <w:p>
      <w:pPr>
        <w:spacing w:after="120"/>
      </w:pPr>
      <w:r>
        <w:t xml:space="preserve"/>
      </w:r>
    </w:p>
    <w:p>
      <w:pPr>
        <w:spacing w:after="120" w:line="264" w:lineRule="exact"/>
        <w:jc w:val="both"/>
      </w:pPr>
      <w:r>
        <w:rPr>
          <w:rFonts w:ascii="Garamond" w:cs="Garamond" w:eastAsia="Garamond" w:hAnsi="Garamond"/>
          <w:sz w:val="22"/>
          <w:szCs w:val="22"/>
        </w:rPr>
        <w:t xml:space="preserve">Across the κ = 0.04 to 0.06 slices, the accessibility structure is resolved. The front_seeded IC tracks SS3 throughout the entire mapped band. The near_uniform_noise IC never reaches SS3 in the tested surface. The localized_seed IC reaches SS3 only at lower-edge onset points — at the boundary where SS3 first becomes accessible from the runaway side.</w:t>
      </w:r>
    </w:p>
    <w:p>
      <w:pPr>
        <w:spacing w:after="120"/>
      </w:pPr>
      <w:r>
        <w:t xml:space="preserve"/>
      </w:r>
    </w:p>
    <w:p>
      <w:pPr>
        <w:spacing w:after="120" w:line="264" w:lineRule="exact"/>
        <w:jc w:val="both"/>
      </w:pPr>
      <w:r>
        <w:rPr>
          <w:rFonts w:ascii="Garamond" w:cs="Garamond" w:eastAsia="Garamond" w:hAnsi="Garamond"/>
          <w:sz w:val="22"/>
          <w:szCs w:val="22"/>
        </w:rPr>
        <w:t xml:space="preserve">Near the upper edge at κ = 0.05, accessibility becomes even more restricted. At λ = 0.113, the front_seeded IC remains SS3 while both other IC families fall to SS2. The SS3 basin near the upper edge is accessible only from the structured single-front pathway.</w:t>
      </w:r>
    </w:p>
    <w:p>
      <w:pPr>
        <w:spacing w:after="120"/>
      </w:pPr>
      <w:r>
        <w:t xml:space="preserve"/>
      </w:r>
    </w:p>
    <w:p>
      <w:pPr>
        <w:spacing w:after="120" w:line="264" w:lineRule="exact"/>
        <w:jc w:val="both"/>
      </w:pPr>
      <w:r>
        <w:rPr>
          <w:rFonts w:ascii="Garamond" w:cs="Garamond" w:eastAsia="Garamond" w:hAnsi="Garamond"/>
          <w:sz w:val="22"/>
          <w:szCs w:val="22"/>
        </w:rPr>
        <w:t xml:space="preserve">This means the surface geometry and the basin geometry are not the same thing. A parameter point can lie inside the SS3 band for the front_seeded branch without being reachable from the other IC families. The band records where SS3 exists. The IC accessibility structure records where it can be entered from, and from which direction.</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Full resolved surface: lower and upper edges for κ=0.04 through 0.12</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Lower edge approximately linear: rate ≈0.010/κ step</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Upper edge strongly convex at low κ, near-linear by κ≥0.06: rate ≈0.093/κ step</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Band width growing from 0.015 (κ=0.04) to 0.485 (κ=0.10) with no saturation through κ=0.12</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Source: Phase 3 batches sim12–sim16 | 2026-03-20 | v2.3 schema</w:t>
            </w:r>
          </w:p>
        </w:tc>
      </w:tr>
    </w:tbl>
    <w:p>
      <w:r>
        <w:br w:type="page"/>
      </w:r>
    </w:p>
    <w:p>
      <w:pPr>
        <w:spacing w:before="720" w:after="120"/>
      </w:pPr>
      <w:r>
        <w:rPr>
          <w:rFonts w:ascii="Garamond" w:cs="Garamond" w:eastAsia="Garamond" w:hAnsi="Garamond"/>
          <w:color w:val="888888"/>
          <w:sz w:val="22"/>
          <w:szCs w:val="22"/>
        </w:rPr>
        <w:t xml:space="preserve">Chapter 6</w:t>
      </w:r>
    </w:p>
    <w:p>
      <w:pPr>
        <w:pStyle w:val="Heading1"/>
        <w:spacing w:before="0" w:after="120"/>
      </w:pPr>
      <w:r>
        <w:rPr>
          <w:rFonts w:ascii="Garamond" w:cs="Garamond" w:eastAsia="Garamond" w:hAnsi="Garamond"/>
          <w:b/>
          <w:bCs/>
          <w:sz w:val="36"/>
          <w:szCs w:val="36"/>
        </w:rPr>
        <w:t xml:space="preserve">The Shelf Regime</w:t>
      </w:r>
    </w:p>
    <w:p>
      <w:pPr>
        <w:spacing w:before="0" w:after="480"/>
      </w:pPr>
      <w:r>
        <w:rPr>
          <w:rFonts w:ascii="Garamond" w:cs="Garamond" w:eastAsia="Garamond" w:hAnsi="Garamond"/>
          <w:i/>
          <w:iCs/>
          <w:sz w:val="24"/>
          <w:szCs w:val="24"/>
        </w:rPr>
        <w:t xml:space="preserve">Finite-Width Transition Layers at High Kappa</w:t>
      </w:r>
    </w:p>
    <w:p>
      <w:pPr>
        <w:spacing w:after="120" w:line="264" w:lineRule="exact"/>
        <w:jc w:val="both"/>
      </w:pPr>
      <w:r>
        <w:rPr>
          <w:rFonts w:ascii="Garamond" w:cs="Garamond" w:eastAsia="Garamond" w:hAnsi="Garamond"/>
          <w:sz w:val="22"/>
          <w:szCs w:val="22"/>
        </w:rPr>
        <w:t xml:space="preserve">The Phase 4 program was designed to characterize shelf emergence at κ = 0.11 and 0.12. The prior finding claimed finite-width seed-unanimous ‘other’ intervals at the SS3 transition boundaries, with five-layer geometry and shelf thickness increasing with κ. The rerun confirmed this finding under v2.3 schema after correcting a window mismatch in the initial rerun design.</w:t>
      </w:r>
    </w:p>
    <w:p>
      <w:pPr>
        <w:spacing w:after="120"/>
      </w:pPr>
      <w:r>
        <w:t xml:space="preserve"/>
      </w:r>
    </w:p>
    <w:p>
      <w:pPr>
        <w:pStyle w:val="Heading2"/>
        <w:spacing w:before="360" w:after="180"/>
      </w:pPr>
      <w:r>
        <w:rPr>
          <w:rFonts w:ascii="Garamond" w:cs="Garamond" w:eastAsia="Garamond" w:hAnsi="Garamond"/>
          <w:b/>
          <w:bCs/>
          <w:sz w:val="26"/>
          <w:szCs w:val="26"/>
        </w:rPr>
        <w:t xml:space="preserve">6.1  The Window Mismatch and Its Correction</w:t>
      </w:r>
    </w:p>
    <w:p>
      <w:pPr>
        <w:spacing w:after="120" w:line="264" w:lineRule="exact"/>
        <w:jc w:val="both"/>
      </w:pPr>
      <w:r>
        <w:rPr>
          <w:rFonts w:ascii="Garamond" w:cs="Garamond" w:eastAsia="Garamond" w:hAnsi="Garamond"/>
          <w:sz w:val="22"/>
          <w:szCs w:val="22"/>
        </w:rPr>
        <w:t xml:space="preserve">The initial rerun of Phase 3 tested λ = 0.020 to 0.080 at κ = 0.11 and 0.12 and found uniform runaway throughout. The automated readout selected the analysis branch ‘sharp_boundaries: no shelf at these kappa values.’ The Phase 3 checkpoint declared sim17 blocked by missing shelf windows.</w:t>
      </w:r>
    </w:p>
    <w:p>
      <w:pPr>
        <w:spacing w:after="120"/>
      </w:pPr>
      <w:r>
        <w:t xml:space="preserve"/>
      </w:r>
    </w:p>
    <w:p>
      <w:pPr>
        <w:spacing w:after="120" w:line="264" w:lineRule="exact"/>
        <w:jc w:val="both"/>
      </w:pPr>
      <w:r>
        <w:rPr>
          <w:rFonts w:ascii="Garamond" w:cs="Garamond" w:eastAsia="Garamond" w:hAnsi="Garamond"/>
          <w:sz w:val="22"/>
          <w:szCs w:val="22"/>
        </w:rPr>
        <w:t xml:space="preserve">This was wrong. The prior findings record — which has high methodological quality, with explicit batch directories, classification logic, edge refinement procedures, and seed unanimity records — shows the SS3 band onset at κ = 0.11 is at approximately λ = 0.100. The rerun window of λ = 0.020 to 0.080 was entirely below the SS3 onset at both κ values. Every tested point was in the runaway regime, exactly as the prior findings predicted. The rerun found uniform runaway because it was looking in the wrong place.</w:t>
      </w:r>
    </w:p>
    <w:p>
      <w:pPr>
        <w:spacing w:after="120"/>
      </w:pPr>
      <w:r>
        <w:t xml:space="preserve"/>
      </w:r>
    </w:p>
    <w:p>
      <w:pPr>
        <w:spacing w:after="120" w:line="264" w:lineRule="exact"/>
        <w:jc w:val="both"/>
      </w:pPr>
      <w:r>
        <w:rPr>
          <w:rFonts w:ascii="Garamond" w:cs="Garamond" w:eastAsia="Garamond" w:hAnsi="Garamond"/>
          <w:sz w:val="22"/>
          <w:szCs w:val="22"/>
        </w:rPr>
        <w:t xml:space="preserve">The correction was straightforward: use the prior findings surface data as window targeting information (not as citable results) and rerun in the correct λ windows. The corrected batches used:</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κ=0.11 lower window: λ = 0.094 to 0.108</w:t>
      </w:r>
    </w:p>
    <w:p>
      <w:pPr>
        <w:spacing w:before="120" w:after="120" w:line="264" w:lineRule="exact"/>
        <w:ind w:left="720"/>
        <w:jc w:val="left"/>
      </w:pPr>
      <w:r>
        <w:rPr>
          <w:rFonts w:ascii="Courier New" w:cs="Courier New" w:eastAsia="Courier New" w:hAnsi="Courier New"/>
          <w:sz w:val="20"/>
          <w:szCs w:val="20"/>
        </w:rPr>
        <w:t xml:space="preserve">κ=0.11 upper window: λ = 0.640 to 0.680</w:t>
      </w:r>
    </w:p>
    <w:p>
      <w:pPr>
        <w:spacing w:before="120" w:after="120" w:line="264" w:lineRule="exact"/>
        <w:ind w:left="720"/>
        <w:jc w:val="left"/>
      </w:pPr>
      <w:r>
        <w:rPr>
          <w:rFonts w:ascii="Courier New" w:cs="Courier New" w:eastAsia="Courier New" w:hAnsi="Courier New"/>
          <w:sz w:val="20"/>
          <w:szCs w:val="20"/>
        </w:rPr>
        <w:t xml:space="preserve">κ=0.12 lower window: λ = 0.104 to 0.125</w:t>
      </w:r>
    </w:p>
    <w:p>
      <w:pPr>
        <w:spacing w:before="120" w:after="120" w:line="264" w:lineRule="exact"/>
        <w:ind w:left="720"/>
        <w:jc w:val="left"/>
      </w:pPr>
      <w:r>
        <w:rPr>
          <w:rFonts w:ascii="Courier New" w:cs="Courier New" w:eastAsia="Courier New" w:hAnsi="Courier New"/>
          <w:sz w:val="20"/>
          <w:szCs w:val="20"/>
        </w:rPr>
        <w:t xml:space="preserve">κ=0.12 upper window: λ = 0.720 to 0.770</w:t>
      </w:r>
    </w:p>
    <w:p>
      <w:pPr>
        <w:spacing w:after="120"/>
      </w:pPr>
      <w:r>
        <w:t xml:space="preserve"/>
      </w:r>
    </w:p>
    <w:p>
      <w:pPr>
        <w:spacing w:after="120" w:line="264" w:lineRule="exact"/>
        <w:jc w:val="both"/>
      </w:pPr>
      <w:r>
        <w:rPr>
          <w:rFonts w:ascii="Garamond" w:cs="Garamond" w:eastAsia="Garamond" w:hAnsi="Garamond"/>
          <w:sz w:val="22"/>
          <w:szCs w:val="22"/>
        </w:rPr>
        <w:t xml:space="preserve">These are the λ ranges where the SS3 band transitions exist. The rerun confirmed SS3 in these windows. The shelf refinement runs then resolved the four shelf intervals at fine λ spacing (δλ = 0.0005).</w:t>
      </w:r>
    </w:p>
    <w:p>
      <w:pPr>
        <w:spacing w:after="120"/>
      </w:pPr>
      <w:r>
        <w:t xml:space="preserve"/>
      </w:r>
    </w:p>
    <w:p>
      <w:pPr>
        <w:pStyle w:val="Heading2"/>
        <w:spacing w:before="360" w:after="180"/>
      </w:pPr>
      <w:r>
        <w:rPr>
          <w:rFonts w:ascii="Garamond" w:cs="Garamond" w:eastAsia="Garamond" w:hAnsi="Garamond"/>
          <w:b/>
          <w:bCs/>
          <w:sz w:val="26"/>
          <w:szCs w:val="26"/>
        </w:rPr>
        <w:t xml:space="preserve">6.2  The Four Verified Shelf Windows</w:t>
      </w:r>
    </w:p>
    <w:p>
      <w:pPr>
        <w:spacing w:after="120" w:line="264" w:lineRule="exact"/>
        <w:jc w:val="both"/>
      </w:pPr>
      <w:r>
        <w:rPr>
          <w:rFonts w:ascii="Garamond" w:cs="Garamond" w:eastAsia="Garamond" w:hAnsi="Garamond"/>
          <w:sz w:val="22"/>
          <w:szCs w:val="22"/>
        </w:rPr>
        <w:t xml:space="preserve">Four shelf windows are confirmed under v2.3 schema. All points in each window are seed-unanimous under the ‘other’ classifier. No point in any window resolves to SS3, SS2, or runaway under refinement. The shelf is contiguous within each window. These are genuine dynamical regions, not classification noise.</w:t>
      </w:r>
    </w:p>
    <w:p>
      <w:pPr>
        <w:spacing w:after="120"/>
      </w:pPr>
      <w:r>
        <w:t xml:space="preserve"/>
      </w:r>
    </w:p>
    <w:p>
      <w:pPr>
        <w:spacing w:after="120" w:line="264" w:lineRule="exact"/>
        <w:jc w:val="both"/>
      </w:pPr>
      <w:r>
        <w:rPr>
          <w:rFonts w:ascii="Garamond" w:cs="Garamond" w:eastAsia="Garamond" w:hAnsi="Garamond"/>
          <w:sz w:val="22"/>
          <w:szCs w:val="22"/>
        </w:rPr>
        <w:t xml:space="preserve">At κ = 0.11, the lower shelf spans approximately λ = 0.0995 to 0.1005. This is a narrow window of width approximately 0.001. The transition from clean runaway to the shelf to clean SS3 happens in three lambda steps: last runaway at 0.0990, shelf at 0.0995–0.1005, first clean SS3 at 0.1010.</w:t>
      </w:r>
    </w:p>
    <w:p>
      <w:pPr>
        <w:spacing w:after="120"/>
      </w:pPr>
      <w:r>
        <w:t xml:space="preserve"/>
      </w:r>
    </w:p>
    <w:p>
      <w:pPr>
        <w:spacing w:after="120" w:line="264" w:lineRule="exact"/>
        <w:jc w:val="both"/>
      </w:pPr>
      <w:r>
        <w:rPr>
          <w:rFonts w:ascii="Garamond" w:cs="Garamond" w:eastAsia="Garamond" w:hAnsi="Garamond"/>
          <w:sz w:val="22"/>
          <w:szCs w:val="22"/>
        </w:rPr>
        <w:t xml:space="preserve">At κ = 0.11, the upper shelf spans approximately λ = 0.6605 to 0.6675. Width approximately 0.007. The transition from clean SS3 to the shelf to clean SS2 also happens in three lambda steps: last clean SS3 at 0.6600, shelf at 0.6605–0.6675, first clean SS2 at 0.6680.</w:t>
      </w:r>
    </w:p>
    <w:p>
      <w:pPr>
        <w:spacing w:after="120"/>
      </w:pPr>
      <w:r>
        <w:t xml:space="preserve"/>
      </w:r>
    </w:p>
    <w:p>
      <w:pPr>
        <w:spacing w:after="120" w:line="264" w:lineRule="exact"/>
        <w:jc w:val="both"/>
      </w:pPr>
      <w:r>
        <w:rPr>
          <w:rFonts w:ascii="Garamond" w:cs="Garamond" w:eastAsia="Garamond" w:hAnsi="Garamond"/>
          <w:sz w:val="22"/>
          <w:szCs w:val="22"/>
        </w:rPr>
        <w:t xml:space="preserve">At κ = 0.12, the lower shelf spans approximately λ = 0.1100 to 0.1170. Width approximately 0.007 — seven times broader than the κ = 0.11 lower shelf. The shelf has grown substantially in width as κ increased by 0.01.</w:t>
      </w:r>
    </w:p>
    <w:p>
      <w:pPr>
        <w:spacing w:after="120"/>
      </w:pPr>
      <w:r>
        <w:t xml:space="preserve"/>
      </w:r>
    </w:p>
    <w:p>
      <w:pPr>
        <w:spacing w:after="120" w:line="264" w:lineRule="exact"/>
        <w:jc w:val="both"/>
      </w:pPr>
      <w:r>
        <w:rPr>
          <w:rFonts w:ascii="Garamond" w:cs="Garamond" w:eastAsia="Garamond" w:hAnsi="Garamond"/>
          <w:sz w:val="22"/>
          <w:szCs w:val="22"/>
        </w:rPr>
        <w:t xml:space="preserve">At κ = 0.12, the upper shelf spans approximately λ = 0.7305 to 0.7560. Width approximately 0.0255 — nearly four times broader than the κ = 0.11 upper shelf. This is the widest shelf in the verified record. It spans more than 25 parameter points at δλ = 0.001 spacing, all seed-unanimous ‘other.’</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Four verified shelf windows: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κ=0.11 lower shelf: λ=0.0995–0.1005, width≈0.001, seed-unanimous 'other'</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κ=0.11 upper shelf: λ=0.6605–0.6675, width≈0.007, seed-unanimous 'other'</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κ=0.12 lower shelf: λ=0.1100–0.1170, width≈0.007, seed-unanimous 'other'</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κ=0.12 upper shelf: λ=0.7305–0.7560, width≈0.0255, seed-unanimous 'other'</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Source: Phase 4 batches sim16/sim17 corrected | 2026-03-20 | v2.3 schema</w:t>
            </w:r>
          </w:p>
        </w:tc>
      </w:tr>
    </w:tbl>
    <w:p>
      <w:pPr>
        <w:spacing w:after="120"/>
      </w:pPr>
      <w:r>
        <w:t xml:space="preserve"/>
      </w:r>
    </w:p>
    <w:p>
      <w:pPr>
        <w:pStyle w:val="Heading2"/>
        <w:spacing w:before="360" w:after="180"/>
      </w:pPr>
      <w:r>
        <w:rPr>
          <w:rFonts w:ascii="Garamond" w:cs="Garamond" w:eastAsia="Garamond" w:hAnsi="Garamond"/>
          <w:b/>
          <w:bCs/>
          <w:sz w:val="26"/>
          <w:szCs w:val="26"/>
        </w:rPr>
        <w:t xml:space="preserve">6.3  The Five-Layer Geometry</w:t>
      </w:r>
    </w:p>
    <w:p>
      <w:pPr>
        <w:spacing w:after="120" w:line="264" w:lineRule="exact"/>
        <w:jc w:val="both"/>
      </w:pPr>
      <w:r>
        <w:rPr>
          <w:rFonts w:ascii="Garamond" w:cs="Garamond" w:eastAsia="Garamond" w:hAnsi="Garamond"/>
          <w:sz w:val="22"/>
          <w:szCs w:val="22"/>
        </w:rPr>
        <w:t xml:space="preserve">The full structure at κ = 0.11 and 0.12 is a five-layer sequence in λ space:</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outer (runaway)  —  shelf  —  SS3 interior  —  shelf  —  outer (SS2)</w:t>
      </w:r>
    </w:p>
    <w:p>
      <w:pPr>
        <w:spacing w:after="120"/>
      </w:pPr>
      <w:r>
        <w:t xml:space="preserve"/>
      </w:r>
    </w:p>
    <w:p>
      <w:pPr>
        <w:spacing w:after="120" w:line="264" w:lineRule="exact"/>
        <w:jc w:val="both"/>
      </w:pPr>
      <w:r>
        <w:rPr>
          <w:rFonts w:ascii="Garamond" w:cs="Garamond" w:eastAsia="Garamond" w:hAnsi="Garamond"/>
          <w:sz w:val="22"/>
          <w:szCs w:val="22"/>
        </w:rPr>
        <w:t xml:space="preserve">The outer regimes are clean and unanimous. The shelf layers are clean and unanimous but occupy the ‘other’ classifier class. The SS3 interior is clean and unanimous. The structure is symmetric in the sense that both boundaries of the SS3 band have developed shelf layers, though the upper shelf is substantially wider than the lower shelf at both tested κ values.</w:t>
      </w:r>
    </w:p>
    <w:p>
      <w:pPr>
        <w:spacing w:after="120"/>
      </w:pPr>
      <w:r>
        <w:t xml:space="preserve"/>
      </w:r>
    </w:p>
    <w:p>
      <w:pPr>
        <w:spacing w:after="120" w:line="264" w:lineRule="exact"/>
        <w:jc w:val="both"/>
      </w:pPr>
      <w:r>
        <w:rPr>
          <w:rFonts w:ascii="Garamond" w:cs="Garamond" w:eastAsia="Garamond" w:hAnsi="Garamond"/>
          <w:sz w:val="22"/>
          <w:szCs w:val="22"/>
        </w:rPr>
        <w:t xml:space="preserve">The shelf width grows with κ. Comparing κ = 0.11 to κ = 0.12, the lower shelf grows by a factor of seven (from 0.001 to 0.007) and the upper shelf grows by a factor of nearly four (from 0.007 to 0.0255). If this trend continues above κ = 0.12, the shelf layers will eventually become comparable in width to the SS3 interior itself.</w:t>
      </w:r>
    </w:p>
    <w:p>
      <w:pPr>
        <w:spacing w:after="120"/>
      </w:pPr>
      <w:r>
        <w:t xml:space="preserve"/>
      </w:r>
    </w:p>
    <w:p>
      <w:pPr>
        <w:pStyle w:val="Heading2"/>
        <w:spacing w:before="360" w:after="180"/>
      </w:pPr>
      <w:r>
        <w:rPr>
          <w:rFonts w:ascii="Garamond" w:cs="Garamond" w:eastAsia="Garamond" w:hAnsi="Garamond"/>
          <w:b/>
          <w:bCs/>
          <w:sz w:val="26"/>
          <w:szCs w:val="26"/>
        </w:rPr>
        <w:t xml:space="preserve">6.4  What the Shelf Regime Is</w:t>
      </w:r>
    </w:p>
    <w:p>
      <w:pPr>
        <w:spacing w:after="120" w:line="264" w:lineRule="exact"/>
        <w:jc w:val="both"/>
      </w:pPr>
      <w:r>
        <w:rPr>
          <w:rFonts w:ascii="Garamond" w:cs="Garamond" w:eastAsia="Garamond" w:hAnsi="Garamond"/>
          <w:sz w:val="22"/>
          <w:szCs w:val="22"/>
        </w:rPr>
        <w:t xml:space="preserve">The ‘other’ classifier category is not a residual error category. It marks a final state that genuinely does not satisfy any of the three operational regime definitions. The shelf points are not full exclusion (not runaway), not zero exclusion (not SS2), and not the clean single-interface coexistence (not classic SS3). They are something in between.</w:t>
      </w:r>
    </w:p>
    <w:p>
      <w:pPr>
        <w:spacing w:after="120"/>
      </w:pPr>
      <w:r>
        <w:t xml:space="preserve"/>
      </w:r>
    </w:p>
    <w:p>
      <w:pPr>
        <w:spacing w:after="120" w:line="264" w:lineRule="exact"/>
        <w:jc w:val="both"/>
      </w:pPr>
      <w:r>
        <w:rPr>
          <w:rFonts w:ascii="Garamond" w:cs="Garamond" w:eastAsia="Garamond" w:hAnsi="Garamond"/>
          <w:sz w:val="22"/>
          <w:szCs w:val="22"/>
        </w:rPr>
        <w:t xml:space="preserve">The most important evidence that the shelf is a genuine dynamical regime rather than a classification artifact is the seed unanimity. At every tested shelf point, all seeds produce the same ‘other’ outcome. The result is not stochastic mixing between SS3 and SS2 or SS3 and runaway. It is a reproducible, deterministic outcome that falls outside the coarse three-class taxonomy.</w:t>
      </w:r>
    </w:p>
    <w:p>
      <w:pPr>
        <w:spacing w:after="120"/>
      </w:pPr>
      <w:r>
        <w:t xml:space="preserve"/>
      </w:r>
    </w:p>
    <w:p>
      <w:pPr>
        <w:spacing w:after="120" w:line="264" w:lineRule="exact"/>
        <w:jc w:val="both"/>
      </w:pPr>
      <w:r>
        <w:rPr>
          <w:rFonts w:ascii="Garamond" w:cs="Garamond" w:eastAsia="Garamond" w:hAnsi="Garamond"/>
          <w:sz w:val="22"/>
          <w:szCs w:val="22"/>
        </w:rPr>
        <w:t xml:space="preserve">The shelf regime is best described as a partial phase-lock state. The system has entered a region where the dynamics are neither fully committed to the SS3 interface topology nor fully collapsed away from it. Exclusion is present but not complete. A boundary structure exists but does not reach the clean single-interface configuration that defines SS3 by operational criteria.</w:t>
      </w:r>
    </w:p>
    <w:p>
      <w:pPr>
        <w:spacing w:after="120"/>
      </w:pPr>
      <w:r>
        <w:t xml:space="preserve"/>
      </w:r>
    </w:p>
    <w:p>
      <w:pPr>
        <w:spacing w:after="120" w:line="264" w:lineRule="exact"/>
        <w:jc w:val="both"/>
      </w:pPr>
      <w:r>
        <w:rPr>
          <w:rFonts w:ascii="Garamond" w:cs="Garamond" w:eastAsia="Garamond" w:hAnsi="Garamond"/>
          <w:sz w:val="22"/>
          <w:szCs w:val="22"/>
        </w:rPr>
        <w:t xml:space="preserve">The shelf thickness growing with κ suggests that the partial phase-lock condition becomes more stable as κ increases — or equivalently, that the transition between clean outer regimes and clean SS3 becomes more gradual. The sharp one-step boundary that characterizes lower κ values is replaced by a finite-width transition layer. The boundary itself is becoming a dynamical regime.</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Internal shelf dynamics not yet characterized. The 'other' class requires richer observables to resolve shelf subtypes (transient, folded, pre-box, closure-approach).</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Shelf thickness scaling above κ=0.12 not yet mapped.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IC accessibility structure within the shelf is not yet known — current shelf results use front_seeded IC only.</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SRC proxy values at shelf points not yet measured — requires deep metrics enabled.</w:t>
            </w:r>
          </w:p>
        </w:tc>
      </w:tr>
    </w:tbl>
    <w:p>
      <w:r>
        <w:br w:type="page"/>
      </w:r>
    </w:p>
    <w:p>
      <w:pPr>
        <w:spacing w:before="1440" w:after="240"/>
        <w:jc w:val="center"/>
      </w:pPr>
      <w:r>
        <w:rPr>
          <w:rFonts w:ascii="Garamond" w:cs="Garamond" w:eastAsia="Garamond" w:hAnsi="Garamond"/>
          <w:color w:val="888888"/>
          <w:sz w:val="28"/>
          <w:szCs w:val="28"/>
        </w:rPr>
        <w:t xml:space="preserve">Part III</w:t>
      </w:r>
    </w:p>
    <w:p>
      <w:pPr>
        <w:spacing w:before="0" w:after="480"/>
        <w:jc w:val="center"/>
      </w:pPr>
      <w:r>
        <w:rPr>
          <w:rFonts w:ascii="Garamond" w:cs="Garamond" w:eastAsia="Garamond" w:hAnsi="Garamond"/>
          <w:b/>
          <w:bCs/>
          <w:sz w:val="40"/>
          <w:szCs w:val="40"/>
        </w:rPr>
        <w:t xml:space="preserve">The Holographic Structure</w:t>
      </w:r>
    </w:p>
    <w:p>
      <w:r>
        <w:br w:type="page"/>
      </w:r>
    </w:p>
    <w:p>
      <w:r>
        <w:br w:type="page"/>
      </w:r>
    </w:p>
    <w:p>
      <w:pPr>
        <w:spacing w:before="720" w:after="120"/>
      </w:pPr>
      <w:r>
        <w:rPr>
          <w:rFonts w:ascii="Garamond" w:cs="Garamond" w:eastAsia="Garamond" w:hAnsi="Garamond"/>
          <w:color w:val="888888"/>
          <w:sz w:val="22"/>
          <w:szCs w:val="22"/>
        </w:rPr>
        <w:t xml:space="preserve">Chapter 7</w:t>
      </w:r>
    </w:p>
    <w:p>
      <w:pPr>
        <w:pStyle w:val="Heading1"/>
        <w:spacing w:before="0" w:after="120"/>
      </w:pPr>
      <w:r>
        <w:rPr>
          <w:rFonts w:ascii="Garamond" w:cs="Garamond" w:eastAsia="Garamond" w:hAnsi="Garamond"/>
          <w:b/>
          <w:bCs/>
          <w:sz w:val="36"/>
          <w:szCs w:val="36"/>
        </w:rPr>
        <w:t xml:space="preserve">Relational Phase</w:t>
      </w:r>
    </w:p>
    <w:p>
      <w:pPr>
        <w:spacing w:before="0" w:after="480"/>
      </w:pPr>
      <w:r>
        <w:rPr>
          <w:rFonts w:ascii="Garamond" w:cs="Garamond" w:eastAsia="Garamond" w:hAnsi="Garamond"/>
          <w:i/>
          <w:iCs/>
          <w:sz w:val="24"/>
          <w:szCs w:val="24"/>
        </w:rPr>
        <w:t xml:space="preserve">The Holographic Reformulation of Process Structure</w:t>
      </w:r>
    </w:p>
    <w:p>
      <w:pPr>
        <w:spacing w:after="120" w:line="264" w:lineRule="exact"/>
        <w:jc w:val="both"/>
      </w:pPr>
      <w:r>
        <w:rPr>
          <w:rFonts w:ascii="Garamond" w:cs="Garamond" w:eastAsia="Garamond" w:hAnsi="Garamond"/>
          <w:sz w:val="22"/>
          <w:szCs w:val="22"/>
        </w:rPr>
        <w:t xml:space="preserve">The simulation results described in Part II can be interpreted in the vocabulary of spatial topology: interfaces, bands, boundaries, corridors, shelves. This vocabulary is useful and approximately correct. But it carries a residual ontological assumption that SPM does not endorse: it treats the interface as a located object, the band as a container, the boundary as a surface in space. These are noun forms. They fail the verb test.</w:t>
      </w:r>
    </w:p>
    <w:p>
      <w:pPr>
        <w:spacing w:after="120"/>
      </w:pPr>
      <w:r>
        <w:t xml:space="preserve"/>
      </w:r>
    </w:p>
    <w:p>
      <w:pPr>
        <w:spacing w:after="120" w:line="264" w:lineRule="exact"/>
        <w:jc w:val="both"/>
      </w:pPr>
      <w:r>
        <w:rPr>
          <w:rFonts w:ascii="Garamond" w:cs="Garamond" w:eastAsia="Garamond" w:hAnsi="Garamond"/>
          <w:sz w:val="22"/>
          <w:szCs w:val="22"/>
        </w:rPr>
        <w:t xml:space="preserve">A sharper formulation is available. It does not replace the topological vocabulary but grounds it. The grounding comes from treating process structure as relational phase rather than spatial topology. This reformulation dissolves the container assumption and makes the ontological structure explicit.</w:t>
      </w:r>
    </w:p>
    <w:p>
      <w:pPr>
        <w:spacing w:after="120"/>
      </w:pPr>
      <w:r>
        <w:t xml:space="preserve"/>
      </w:r>
    </w:p>
    <w:p>
      <w:pPr>
        <w:pStyle w:val="Heading2"/>
        <w:spacing w:before="360" w:after="180"/>
      </w:pPr>
      <w:r>
        <w:rPr>
          <w:rFonts w:ascii="Garamond" w:cs="Garamond" w:eastAsia="Garamond" w:hAnsi="Garamond"/>
          <w:b/>
          <w:bCs/>
          <w:sz w:val="26"/>
          <w:szCs w:val="26"/>
        </w:rPr>
        <w:t xml:space="preserve">7.1  The Process Field and the Reference Field</w:t>
      </w:r>
    </w:p>
    <w:p>
      <w:pPr>
        <w:spacing w:after="120" w:line="264" w:lineRule="exact"/>
        <w:jc w:val="both"/>
      </w:pPr>
      <w:r>
        <w:rPr>
          <w:rFonts w:ascii="Garamond" w:cs="Garamond" w:eastAsia="Garamond" w:hAnsi="Garamond"/>
          <w:sz w:val="22"/>
          <w:szCs w:val="22"/>
        </w:rPr>
        <w:t>Let Ψ = A exp(iφ) be the local process expression at a given spatial location. A is the amplitude (a measure of local process intensity) and φ is the phase (the local continuation orientation). Let R = B exp(iρ) be the local reference process expression [PROVISIONAL — sim23 pending] at the same location. B is the reference amplitude and ρ is the reference orientation.</w:t>
      </w:r>
    </w:p>
    <w:p>
      <w:pPr>
        <w:spacing w:after="120"/>
      </w:pPr>
      <w:r>
        <w:t xml:space="preserve"/>
      </w:r>
    </w:p>
    <w:p>
      <w:pPr>
        <w:spacing w:after="120" w:line="264" w:lineRule="exact"/>
        <w:jc w:val="both"/>
      </w:pPr>
      <w:r>
        <w:rPr>
          <w:rFonts w:ascii="Garamond" w:cs="Garamond" w:eastAsia="Garamond" w:hAnsi="Garamond"/>
          <w:sz w:val="22"/>
          <w:szCs w:val="22"/>
        </w:rPr>
        <w:t>These are not two separate physical fields existing in space. They are two aspects of one process: the local process expression (Ψ) and the accumulated relational context against which that expression is measured (R_ref). The reference process expression [PROVISIONAL — sim23 pending] is the residue in SPM language — the constraint topology written by prior continuation events.</w:t>
      </w:r>
    </w:p>
    <w:p>
      <w:pPr>
        <w:spacing w:after="120"/>
      </w:pPr>
      <w:r>
        <w:t xml:space="preserve"/>
      </w:r>
    </w:p>
    <w:p>
      <w:pPr>
        <w:spacing w:after="120" w:line="264" w:lineRule="exact"/>
        <w:jc w:val="both"/>
      </w:pPr>
      <w:r>
        <w:rPr>
          <w:rFonts w:ascii="Garamond" w:cs="Garamond" w:eastAsia="Garamond" w:hAnsi="Garamond"/>
          <w:sz w:val="22"/>
          <w:szCs w:val="22"/>
        </w:rPr>
        <w:t>The locally expressed structure — what is observable at this locally coupled continuation regime — is the interference between these two aspects:</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I = |Ψ + R|² = A² + B² + 2AB cos(Δ)    (7.1)</w:t>
      </w:r>
    </w:p>
    <w:p>
      <w:pPr>
        <w:spacing w:after="120"/>
      </w:pPr>
      <w:r>
        <w:t xml:space="preserve"/>
      </w:r>
    </w:p>
    <w:p>
      <w:pPr>
        <w:spacing w:after="120" w:line="264" w:lineRule="exact"/>
        <w:jc w:val="both"/>
      </w:pPr>
      <w:r>
        <w:rPr>
          <w:rFonts w:ascii="Garamond" w:cs="Garamond" w:eastAsia="Garamond" w:hAnsi="Garamond"/>
          <w:sz w:val="22"/>
          <w:szCs w:val="22"/>
        </w:rPr>
        <w:t>where Δ_rel = φ − ρ_ref is the relational phase: the difference between the local continuation orientation and the local reference orientation. The observable structure I is not a property of Ψ alone, not a property of R alone, but a property of their relationship. It depends on how the continuation is oriented relative to the accumulated residue in that locally coupled continuation regime.</w:t>
      </w:r>
    </w:p>
    <w:p>
      <w:pPr>
        <w:spacing w:after="120"/>
      </w:pPr>
      <w:r>
        <w:t xml:space="preserve"/>
      </w:r>
    </w:p>
    <w:p>
      <w:pPr>
        <w:pStyle w:val="Heading2"/>
        <w:spacing w:before="360" w:after="180"/>
      </w:pPr>
      <w:r>
        <w:rPr>
          <w:rFonts w:ascii="Garamond" w:cs="Garamond" w:eastAsia="Garamond" w:hAnsi="Garamond"/>
          <w:b/>
          <w:bCs/>
          <w:sz w:val="26"/>
          <w:szCs w:val="26"/>
        </w:rPr>
        <w:t xml:space="preserve">7.2  Gauge Invariance and the Relational Observable</w:t>
      </w:r>
    </w:p>
    <w:p>
      <w:pPr>
        <w:spacing w:after="120" w:line="264" w:lineRule="exact"/>
        <w:jc w:val="both"/>
      </w:pPr>
      <w:r>
        <w:rPr>
          <w:rFonts w:ascii="Garamond" w:cs="Garamond" w:eastAsia="Garamond" w:hAnsi="Garamond"/>
          <w:sz w:val="22"/>
          <w:szCs w:val="22"/>
        </w:rPr>
        <w:t>The process expression and the reference process expression [PROVISIONAL — sim23 pending] each carry an absolute phase: φ and ρ respectively. But absolute phases are not observable. What is observable is the relational phase Δ_rel_rel = φ − ρ_ref.</w:t>
      </w:r>
    </w:p>
    <w:p>
      <w:pPr>
        <w:spacing w:after="120"/>
      </w:pPr>
      <w:r>
        <w:t xml:space="preserve"/>
      </w:r>
    </w:p>
    <w:p>
      <w:pPr>
        <w:spacing w:after="120" w:line="264" w:lineRule="exact"/>
        <w:jc w:val="both"/>
      </w:pPr>
      <w:r>
        <w:rPr>
          <w:rFonts w:ascii="Garamond" w:cs="Garamond" w:eastAsia="Garamond" w:hAnsi="Garamond"/>
          <w:sz w:val="22"/>
          <w:szCs w:val="22"/>
        </w:rPr>
        <w:t xml:space="preserve">This can be made precise. Consider a simultaneous phase shift of both fields:</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Ψ ↦ exp(iχ) Ψ</w:t>
      </w:r>
    </w:p>
    <w:p>
      <w:pPr>
        <w:spacing w:before="120" w:after="120" w:line="264" w:lineRule="exact"/>
        <w:ind w:left="720"/>
        <w:jc w:val="left"/>
      </w:pPr>
      <w:r>
        <w:rPr>
          <w:rFonts w:ascii="Courier New" w:cs="Courier New" w:eastAsia="Courier New" w:hAnsi="Courier New"/>
          <w:sz w:val="20"/>
          <w:szCs w:val="20"/>
        </w:rPr>
        <w:t xml:space="preserve">R ↦ exp(iχ) R</w:t>
      </w:r>
    </w:p>
    <w:p>
      <w:pPr>
        <w:spacing w:after="120"/>
      </w:pPr>
      <w:r>
        <w:t xml:space="preserve"/>
      </w:r>
    </w:p>
    <w:p>
      <w:pPr>
        <w:spacing w:after="120" w:line="264" w:lineRule="exact"/>
        <w:jc w:val="both"/>
      </w:pPr>
      <w:r>
        <w:rPr>
          <w:rFonts w:ascii="Garamond" w:cs="Garamond" w:eastAsia="Garamond" w:hAnsi="Garamond"/>
          <w:sz w:val="22"/>
          <w:szCs w:val="22"/>
        </w:rPr>
        <w:t>Under this transformation, the relational phase Δ_rel_rel = φ − ρ_ref is unchanged (φ increases by χ and ρ increases by χ, their difference is unchanged). The interference intensity I is unchanged. This is a gauge invariance: a transformation that leaves all observables invariant.</w:t>
      </w:r>
    </w:p>
    <w:p>
      <w:pPr>
        <w:spacing w:after="120"/>
      </w:pPr>
      <w:r>
        <w:t xml:space="preserve"/>
      </w:r>
    </w:p>
    <w:p>
      <w:pPr>
        <w:spacing w:after="120" w:line="264" w:lineRule="exact"/>
        <w:jc w:val="both"/>
      </w:pPr>
      <w:r>
        <w:rPr>
          <w:rFonts w:ascii="Garamond" w:cs="Garamond" w:eastAsia="Garamond" w:hAnsi="Garamond"/>
          <w:sz w:val="22"/>
          <w:szCs w:val="22"/>
        </w:rPr>
        <w:t>The consequence is that the physically meaningful quantity is not the absolute phase of the process expression, but the relational phase Δ between the process expression and the reference process expression [PROVISIONAL — sim23 pending]. Two configurations that differ only by a global phase shift are physically identical.</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Gauge invariance: simultaneous phase shift Ψ↦e^(iχ)Ψ, R↦e^(iχ)R leaves Δ and I invariant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Physical observable: Δ = φ − ρ (relational phase), not φ or ρ individually</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I = A² + B² + 2AB cos(Δ) — observable structure from relational phase</w:t>
            </w:r>
          </w:p>
        </w:tc>
      </w:tr>
    </w:tbl>
    <w:p>
      <w:pPr>
        <w:spacing w:after="120"/>
      </w:pPr>
      <w:r>
        <w:t xml:space="preserve"/>
      </w:r>
    </w:p>
    <w:p>
      <w:pPr>
        <w:pStyle w:val="Heading2"/>
        <w:spacing w:before="360" w:after="180"/>
      </w:pPr>
      <w:r>
        <w:rPr>
          <w:rFonts w:ascii="Garamond" w:cs="Garamond" w:eastAsia="Garamond" w:hAnsi="Garamond"/>
          <w:b/>
          <w:bCs/>
          <w:sz w:val="26"/>
          <w:szCs w:val="26"/>
        </w:rPr>
        <w:t xml:space="preserve">7.3  The Projective Invariant</w:t>
      </w:r>
    </w:p>
    <w:p>
      <w:pPr>
        <w:spacing w:after="120" w:line="264" w:lineRule="exact"/>
        <w:jc w:val="both"/>
      </w:pPr>
      <w:r>
        <w:rPr>
          <w:rFonts w:ascii="Garamond" w:cs="Garamond" w:eastAsia="Garamond" w:hAnsi="Garamond"/>
          <w:sz w:val="22"/>
          <w:szCs w:val="22"/>
        </w:rPr>
        <w:t>The relational phase Δ transforms as Δ ↦ −Δ under the phase inversion operation φ ↦ −φ. This is the operation I_φ discussed in the orientation paper — inverting the phase expression of the process expression while holding the reference process expression [PROVISIONAL — sim23 pending] fixed.</w:t>
      </w:r>
    </w:p>
    <w:p>
      <w:pPr>
        <w:spacing w:after="120"/>
      </w:pPr>
      <w:r>
        <w:t xml:space="preserve"/>
      </w:r>
    </w:p>
    <w:p>
      <w:pPr>
        <w:spacing w:after="120" w:line="264" w:lineRule="exact"/>
        <w:jc w:val="both"/>
      </w:pPr>
      <w:r>
        <w:rPr>
          <w:rFonts w:ascii="Garamond" w:cs="Garamond" w:eastAsia="Garamond" w:hAnsi="Garamond"/>
          <w:sz w:val="22"/>
          <w:szCs w:val="22"/>
        </w:rPr>
        <w:t xml:space="preserve">Under I_φ, the interference intensity I = A² + B² + 2AB cos(Δ) transforms as:</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I ↦ A² + B² + 2AB cos(−Δ) = A² + B² + 2AB cos(Δ)</w:t>
      </w:r>
    </w:p>
    <w:p>
      <w:pPr>
        <w:spacing w:after="120"/>
      </w:pPr>
      <w:r>
        <w:t xml:space="preserve"/>
      </w:r>
    </w:p>
    <w:p>
      <w:pPr>
        <w:spacing w:after="120" w:line="264" w:lineRule="exact"/>
        <w:jc w:val="both"/>
      </w:pPr>
      <w:r>
        <w:rPr>
          <w:rFonts w:ascii="Garamond" w:cs="Garamond" w:eastAsia="Garamond" w:hAnsi="Garamond"/>
          <w:sz w:val="22"/>
          <w:szCs w:val="22"/>
        </w:rPr>
        <w:t xml:space="preserve">because cos is an even function. I is invariant under I_φ. This means phase inversion leaves the observable structure unchanged. The two phase orientations Δ and −Δ produce identical observables.</w:t>
      </w:r>
    </w:p>
    <w:p>
      <w:pPr>
        <w:spacing w:after="120"/>
      </w:pPr>
      <w:r>
        <w:t xml:space="preserve"/>
      </w:r>
    </w:p>
    <w:p>
      <w:pPr>
        <w:spacing w:after="120" w:line="264" w:lineRule="exact"/>
        <w:jc w:val="both"/>
      </w:pPr>
      <w:r>
        <w:rPr>
          <w:rFonts w:ascii="Garamond" w:cs="Garamond" w:eastAsia="Garamond" w:hAnsi="Garamond"/>
          <w:sz w:val="22"/>
          <w:szCs w:val="22"/>
        </w:rPr>
        <w:t xml:space="preserve">However, Δ and −Δ are distinct relational phases. To define an observable that is explicitly invariant under I_φ, we need a quantity that identifies Δ and −Δ as the same class. The projective invariant:</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Q = exp(2iΔ)    (7.2)</w:t>
      </w:r>
    </w:p>
    <w:p>
      <w:pPr>
        <w:spacing w:after="120"/>
      </w:pPr>
      <w:r>
        <w:t xml:space="preserve"/>
      </w:r>
    </w:p>
    <w:p>
      <w:pPr>
        <w:spacing w:after="120" w:line="264" w:lineRule="exact"/>
        <w:jc w:val="both"/>
      </w:pPr>
      <w:r>
        <w:rPr>
          <w:rFonts w:ascii="Garamond" w:cs="Garamond" w:eastAsia="Garamond" w:hAnsi="Garamond"/>
          <w:sz w:val="22"/>
          <w:szCs w:val="22"/>
        </w:rPr>
        <w:t xml:space="preserve">serves this purpose. Under Δ ↦ −Δ, Q ↦ exp(−2iΔ) = Q*, the complex conjugate of Q. Q and Q* are in the same projective class when Q is real — that is, when Δ = 0 (full phase alignment) or Δ = π/2 (full phase anti-alignment). When Q is complex, Δ ≠ −Δ as projective classes, meaning the two phase orientations are distinguishable.</w:t>
      </w:r>
    </w:p>
    <w:p>
      <w:pPr>
        <w:spacing w:after="120"/>
      </w:pPr>
      <w:r>
        <w:t xml:space="preserve"/>
      </w:r>
    </w:p>
    <w:p>
      <w:pPr>
        <w:spacing w:after="120" w:line="264" w:lineRule="exact"/>
        <w:jc w:val="both"/>
      </w:pPr>
      <w:r>
        <w:rPr>
          <w:rFonts w:ascii="Garamond" w:cs="Garamond" w:eastAsia="Garamond" w:hAnsi="Garamond"/>
          <w:sz w:val="22"/>
          <w:szCs w:val="22"/>
        </w:rPr>
        <w:t xml:space="preserve">This is the precise meaning of phase inversion symmetry I_φ as a gauge symmetry: it is a symmetry of the observable I, but not necessarily a symmetry of the projective class of Q. The question sim18 is testing — whether I_φ is a gauge symmetry of the ε–ρ–R system — is the question of whether Q remains in the same projective class under phase inversion across all parameter regimes, or whether there are regions where Q is complex and the two orientations are distinguishable.</w:t>
      </w:r>
    </w:p>
    <w:p>
      <w:pPr>
        <w:spacing w:after="120"/>
      </w:pPr>
      <w:r>
        <w:t xml:space="preserve"/>
      </w:r>
    </w:p>
    <w:p>
      <w:pPr>
        <w:pStyle w:val="Heading2"/>
        <w:spacing w:before="360" w:after="180"/>
      </w:pPr>
      <w:r>
        <w:rPr>
          <w:rFonts w:ascii="Garamond" w:cs="Garamond" w:eastAsia="Garamond" w:hAnsi="Garamond"/>
          <w:b/>
          <w:bCs/>
          <w:sz w:val="26"/>
          <w:szCs w:val="26"/>
        </w:rPr>
        <w:t xml:space="preserve">7.4  The Stable Closure Condition</w:t>
      </w:r>
    </w:p>
    <w:p>
      <w:pPr>
        <w:spacing w:after="120" w:line="264" w:lineRule="exact"/>
        <w:jc w:val="both"/>
      </w:pPr>
      <w:r>
        <w:rPr>
          <w:rFonts w:ascii="Garamond" w:cs="Garamond" w:eastAsia="Garamond" w:hAnsi="Garamond"/>
          <w:sz w:val="22"/>
          <w:szCs w:val="22"/>
        </w:rPr>
        <w:t xml:space="preserve">The most important dynamical condition in the holographic framework is stable closure: the relational phase Δ(x, t) converges to a stable spatial pattern Δ*(x) that is maintained under ongoing process continuation.</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Δ(x, t) → Δ*(x)    (7.3)</w:t>
      </w:r>
    </w:p>
    <w:p>
      <w:pPr>
        <w:spacing w:after="120"/>
      </w:pPr>
      <w:r>
        <w:t xml:space="preserve"/>
      </w:r>
    </w:p>
    <w:p>
      <w:pPr>
        <w:spacing w:after="120" w:line="264" w:lineRule="exact"/>
        <w:jc w:val="both"/>
      </w:pPr>
      <w:r>
        <w:rPr>
          <w:rFonts w:ascii="Garamond" w:cs="Garamond" w:eastAsia="Garamond" w:hAnsi="Garamond"/>
          <w:sz w:val="22"/>
          <w:szCs w:val="22"/>
        </w:rPr>
        <w:t xml:space="preserve">or equivalently in projective terms:</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Q(x, t) → Q*(x)    (7.4)</w:t>
      </w:r>
    </w:p>
    <w:p>
      <w:pPr>
        <w:spacing w:after="120"/>
      </w:pPr>
      <w:r>
        <w:t xml:space="preserve"/>
      </w:r>
    </w:p>
    <w:p>
      <w:pPr>
        <w:spacing w:after="120" w:line="264" w:lineRule="exact"/>
        <w:jc w:val="both"/>
      </w:pPr>
      <w:r>
        <w:rPr>
          <w:rFonts w:ascii="Garamond" w:cs="Garamond" w:eastAsia="Garamond" w:hAnsi="Garamond"/>
          <w:sz w:val="22"/>
          <w:szCs w:val="22"/>
        </w:rPr>
        <w:t>where Q*(x) is a stable coherence class. This is the condition under which the process “runs in place” — the reference process expression [PROVISIONAL — sim23 pending] evolves, the continuation field evolves, but their relative phase remains locked to a spatial pattern. The apparent structure I(x) is stable not because the fields are frozen, but because their relationship is locked.</w:t>
      </w:r>
    </w:p>
    <w:p>
      <w:pPr>
        <w:spacing w:after="120"/>
      </w:pPr>
      <w:r>
        <w:t xml:space="preserve"/>
      </w:r>
    </w:p>
    <w:p>
      <w:pPr>
        <w:spacing w:after="120" w:line="264" w:lineRule="exact"/>
        <w:jc w:val="both"/>
      </w:pPr>
      <w:r>
        <w:rPr>
          <w:rFonts w:ascii="Garamond" w:cs="Garamond" w:eastAsia="Garamond" w:hAnsi="Garamond"/>
          <w:sz w:val="22"/>
          <w:szCs w:val="22"/>
        </w:rPr>
        <w:t>The SPM interpretation is direct: stable closure is what it means for a constraint regime to sustain against exclusion. The regime sustains not because the exclusion process is absent, but because the relational phase between the process expression and the residue field has locked to a pattern that is self-reinforcing. The boundary holds because the phase relationship at the boundary holds.</w:t>
      </w:r>
    </w:p>
    <w:p>
      <w:pPr>
        <w:spacing w:after="120"/>
      </w:pPr>
      <w:r>
        <w:t xml:space="preserve"/>
      </w:r>
    </w:p>
    <w:p>
      <w:pPr>
        <w:pStyle w:val="Heading2"/>
        <w:spacing w:before="360" w:after="180"/>
      </w:pPr>
      <w:r>
        <w:rPr>
          <w:rFonts w:ascii="Garamond" w:cs="Garamond" w:eastAsia="Garamond" w:hAnsi="Garamond"/>
          <w:b/>
          <w:bCs/>
          <w:sz w:val="26"/>
          <w:szCs w:val="26"/>
        </w:rPr>
        <w:t xml:space="preserve">7.5  Reinterpreting the Simulation Regimes</w:t>
      </w:r>
    </w:p>
    <w:p>
      <w:pPr>
        <w:spacing w:after="120" w:line="264" w:lineRule="exact"/>
        <w:jc w:val="both"/>
      </w:pPr>
      <w:r>
        <w:rPr>
          <w:rFonts w:ascii="Garamond" w:cs="Garamond" w:eastAsia="Garamond" w:hAnsi="Garamond"/>
          <w:sz w:val="22"/>
          <w:szCs w:val="22"/>
        </w:rPr>
        <w:t xml:space="preserve">The four continuation outcomes map cleanly onto the holographic framework.</w:t>
      </w:r>
    </w:p>
    <w:p>
      <w:pPr>
        <w:spacing w:after="120"/>
      </w:pPr>
      <w:r>
        <w:t xml:space="preserve"/>
      </w:r>
    </w:p>
    <w:p>
      <w:pPr>
        <w:spacing w:after="120" w:line="264" w:lineRule="exact"/>
        <w:jc w:val="both"/>
      </w:pPr>
      <w:r>
        <w:rPr>
          <w:rFonts w:ascii="Garamond" w:cs="Garamond" w:eastAsia="Garamond" w:hAnsi="Garamond"/>
          <w:sz w:val="22"/>
          <w:szCs w:val="22"/>
        </w:rPr>
        <w:t>SS2 is the condition Δ → 0: full phase alignment. The process expression is fully aligned with the reference process expression [PROVISIONAL — sim23 pending]. No relational mismatch. No exclusion. The interference term 2AB cos(Δ) → 2AB (maximum constructive interference). The observable structure is entirely determined by the sum of amplitudes, not by relational tension.</w:t>
      </w:r>
    </w:p>
    <w:p>
      <w:pPr>
        <w:spacing w:after="120"/>
      </w:pPr>
      <w:r>
        <w:t xml:space="preserve"/>
      </w:r>
    </w:p>
    <w:p>
      <w:pPr>
        <w:spacing w:after="120" w:line="264" w:lineRule="exact"/>
        <w:jc w:val="both"/>
      </w:pPr>
      <w:r>
        <w:rPr>
          <w:rFonts w:ascii="Garamond" w:cs="Garamond" w:eastAsia="Garamond" w:hAnsi="Garamond"/>
          <w:sz w:val="22"/>
          <w:szCs w:val="22"/>
        </w:rPr>
        <w:t>R2 runaway is the condition Δ diverging: the process expression and reference process expression [PROVISIONAL — sim23 pending] are losing relational coherence. The interference term 2AB cos(Δ) averages toward zero as the phase oscillates through all values. The observable structure converges to A² + B² — the sum of squared amplitudes, no relational contribution. Continuation terminates under the incoherent accumulation of exclusion.</w:t>
      </w:r>
    </w:p>
    <w:p>
      <w:pPr>
        <w:spacing w:after="120"/>
      </w:pPr>
      <w:r>
        <w:t xml:space="preserve"/>
      </w:r>
    </w:p>
    <w:p>
      <w:pPr>
        <w:spacing w:after="120" w:line="264" w:lineRule="exact"/>
        <w:jc w:val="both"/>
      </w:pPr>
      <w:r>
        <w:rPr>
          <w:rFonts w:ascii="Garamond" w:cs="Garamond" w:eastAsia="Garamond" w:hAnsi="Garamond"/>
          <w:sz w:val="22"/>
          <w:szCs w:val="22"/>
        </w:rPr>
        <w:t>SS3 is stable closure: Δ(x, t) → Δ*(x). The relational phase has locked to a non-trivial spatial pattern. The interface is the location where Δ* has a specific value. The interface is not a wall in space. It is a locus of fixed relational phase — the place where the process expression and the reference process expression [PROVISIONAL — sim23 pending] are in a specific, stable relationship to each other.</w:t>
      </w:r>
    </w:p>
    <w:p>
      <w:pPr>
        <w:spacing w:after="120"/>
      </w:pPr>
      <w:r>
        <w:t xml:space="preserve"/>
      </w:r>
    </w:p>
    <w:p>
      <w:pPr>
        <w:spacing w:after="120" w:line="264" w:lineRule="exact"/>
        <w:jc w:val="both"/>
      </w:pPr>
      <w:r>
        <w:rPr>
          <w:rFonts w:ascii="Garamond" w:cs="Garamond" w:eastAsia="Garamond" w:hAnsi="Garamond"/>
          <w:sz w:val="22"/>
          <w:szCs w:val="22"/>
        </w:rPr>
        <w:t xml:space="preserve">The shelf regime is partial phase-lock: Q is complex, Δ is neither 0 nor fully locked to Δ*, and neither diverging nor stabilizing cleanly. The process is in a region of parameter space where the dynamics are neither fully committed to stable closure nor fully collapsing away from it. This is why the shelf produces the ‘other’ classification: it is a regime of intermediate relational coherence.</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SS2: Δ→0 (full phase alignment, Q→1, maximum constructive interference)</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R2: Δ diverging (relational decoherence, Q→0, interference averages away)</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SS3: Δ→Δ* (stable phase-lock, Q→Q*, constraint regime sustaining)</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Shelf: Q complex (partial phase-lock, intermediate coherence, 'other' class)</w:t>
            </w:r>
          </w:p>
        </w:tc>
      </w:tr>
    </w:tbl>
    <w:p>
      <w:r>
        <w:br w:type="page"/>
      </w:r>
    </w:p>
    <w:p>
      <w:pPr>
        <w:spacing w:before="720" w:after="120"/>
      </w:pPr>
      <w:r>
        <w:rPr>
          <w:rFonts w:ascii="Garamond" w:cs="Garamond" w:eastAsia="Garamond" w:hAnsi="Garamond"/>
          <w:color w:val="888888"/>
          <w:sz w:val="22"/>
          <w:szCs w:val="22"/>
        </w:rPr>
        <w:t xml:space="preserve">Chapter 8</w:t>
      </w:r>
    </w:p>
    <w:p>
      <w:pPr>
        <w:pStyle w:val="Heading1"/>
        <w:spacing w:before="0" w:after="120"/>
      </w:pPr>
      <w:r>
        <w:rPr>
          <w:rFonts w:ascii="Garamond" w:cs="Garamond" w:eastAsia="Garamond" w:hAnsi="Garamond"/>
          <w:b/>
          <w:bCs/>
          <w:sz w:val="36"/>
          <w:szCs w:val="36"/>
        </w:rPr>
        <w:t xml:space="preserve">The Temporal Structure</w:t>
      </w:r>
    </w:p>
    <w:p>
      <w:pPr>
        <w:spacing w:before="0" w:after="480"/>
      </w:pPr>
      <w:r>
        <w:rPr>
          <w:rFonts w:ascii="Garamond" w:cs="Garamond" w:eastAsia="Garamond" w:hAnsi="Garamond"/>
          <w:i/>
          <w:iCs/>
          <w:sz w:val="24"/>
          <w:szCs w:val="24"/>
        </w:rPr>
        <w:t xml:space="preserve">Dipoles, Symmetry, and the Consciousness Candidate</w:t>
      </w:r>
    </w:p>
    <w:p>
      <w:pPr>
        <w:spacing w:after="120" w:line="264" w:lineRule="exact"/>
        <w:jc w:val="both"/>
      </w:pPr>
      <w:r>
        <w:rPr>
          <w:rFonts w:ascii="Garamond" w:cs="Garamond" w:eastAsia="Garamond" w:hAnsi="Garamond"/>
          <w:sz w:val="22"/>
          <w:szCs w:val="22"/>
        </w:rPr>
        <w:t xml:space="preserve">The v2.3 charter adds to the core axioms a statement about temporal ordering: the process is indifferent to temporal ordering. Temporal ordering is a local readout of stabilized phase expression — a property of continuation regimes, not of the process itself. This axiom has consequences for how the simulation results should be interpreted, and for what the shelf regime and the closure condition might mean.</w:t>
      </w:r>
    </w:p>
    <w:p>
      <w:pPr>
        <w:spacing w:after="120"/>
      </w:pPr>
      <w:r>
        <w:t xml:space="preserve"/>
      </w:r>
    </w:p>
    <w:p>
      <w:pPr>
        <w:pStyle w:val="Heading2"/>
        <w:spacing w:before="360" w:after="180"/>
      </w:pPr>
      <w:r>
        <w:rPr>
          <w:rFonts w:ascii="Garamond" w:cs="Garamond" w:eastAsia="Garamond" w:hAnsi="Garamond"/>
          <w:b/>
          <w:bCs/>
          <w:sz w:val="26"/>
          <w:szCs w:val="26"/>
        </w:rPr>
        <w:t xml:space="preserve">8.1  Temporal Ordering as Local Phase Readout</w:t>
      </w:r>
    </w:p>
    <w:p>
      <w:pPr>
        <w:spacing w:after="120" w:line="264" w:lineRule="exact"/>
        <w:jc w:val="both"/>
      </w:pPr>
      <w:r>
        <w:rPr>
          <w:rFonts w:ascii="Garamond" w:cs="Garamond" w:eastAsia="Garamond" w:hAnsi="Garamond"/>
          <w:sz w:val="22"/>
          <w:szCs w:val="22"/>
        </w:rPr>
        <w:t xml:space="preserve">In standard physics, time is a global coordinate. Events are ordered on a single temporal axis, and causality is defined by the ordering of events along that axis. In SPM, this picture is derived rather than primitive. Temporal ordering is what a stabilized continuation regime produces as a byproduct of its own phase expression. The process itself is indifferent.</w:t>
      </w:r>
    </w:p>
    <w:p>
      <w:pPr>
        <w:spacing w:after="120"/>
      </w:pPr>
      <w:r>
        <w:t xml:space="preserve"/>
      </w:r>
    </w:p>
    <w:p>
      <w:pPr>
        <w:spacing w:after="120" w:line="264" w:lineRule="exact"/>
        <w:jc w:val="both"/>
      </w:pPr>
      <w:r>
        <w:rPr>
          <w:rFonts w:ascii="Garamond" w:cs="Garamond" w:eastAsia="Garamond" w:hAnsi="Garamond"/>
          <w:sz w:val="22"/>
          <w:szCs w:val="22"/>
        </w:rPr>
        <w:t xml:space="preserve">The consequence is that two regions with different phase expression orientations will have different local temporal readouts. A region in one phase orientation experiences its continuation in one temporal order. A region in the inverted phase orientation experiences its continuation in the other temporal order. From inside either region, the local temporal sequence is consistent and forward-directed. From outside both regions — from the process level — neither ordering is privileged.</w:t>
      </w:r>
    </w:p>
    <w:p>
      <w:pPr>
        <w:spacing w:after="120"/>
      </w:pPr>
      <w:r>
        <w:t xml:space="preserve"/>
      </w:r>
    </w:p>
    <w:p>
      <w:pPr>
        <w:spacing w:after="120" w:line="264" w:lineRule="exact"/>
        <w:jc w:val="both"/>
      </w:pPr>
      <w:r>
        <w:rPr>
          <w:rFonts w:ascii="Garamond" w:cs="Garamond" w:eastAsia="Garamond" w:hAnsi="Garamond"/>
          <w:sz w:val="22"/>
          <w:szCs w:val="22"/>
        </w:rPr>
        <w:t xml:space="preserve">In the relational phase language of Chapter 7: a region with Δ = Δ* has one local temporal readout. A region with Δ = −Δ* — the phase-inverted configuration — has the other local temporal readout. The SS3 interface is the spatial location where both configurations are present simultaneously. The interface is the temporal boundary as well as the spatial one.</w:t>
      </w:r>
    </w:p>
    <w:p>
      <w:pPr>
        <w:spacing w:after="120"/>
      </w:pPr>
      <w:r>
        <w:t xml:space="preserve"/>
      </w:r>
    </w:p>
    <w:p>
      <w:pPr>
        <w:pStyle w:val="Heading2"/>
        <w:spacing w:before="360" w:after="180"/>
      </w:pPr>
      <w:r>
        <w:rPr>
          <w:rFonts w:ascii="Garamond" w:cs="Garamond" w:eastAsia="Garamond" w:hAnsi="Garamond"/>
          <w:b/>
          <w:bCs/>
          <w:sz w:val="26"/>
          <w:szCs w:val="26"/>
        </w:rPr>
        <w:t xml:space="preserve">8.2  The SS3 Interface as Temporal Dipole</w:t>
      </w:r>
    </w:p>
    <w:p>
      <w:pPr>
        <w:spacing w:after="120" w:line="264" w:lineRule="exact"/>
        <w:jc w:val="both"/>
      </w:pPr>
      <w:r>
        <w:rPr>
          <w:rFonts w:ascii="Garamond" w:cs="Garamond" w:eastAsia="Garamond" w:hAnsi="Garamond"/>
          <w:sz w:val="22"/>
          <w:szCs w:val="22"/>
        </w:rPr>
        <w:t xml:space="preserve">A dipole is a system with two equal and opposite poles separated by a finite distance. The key features are that the two poles are not independent — they are aspects of a single structure — and the field between them is where the interesting dynamics happen.</w:t>
      </w:r>
    </w:p>
    <w:p>
      <w:pPr>
        <w:spacing w:after="120"/>
      </w:pPr>
      <w:r>
        <w:t xml:space="preserve"/>
      </w:r>
    </w:p>
    <w:p>
      <w:pPr>
        <w:spacing w:after="120" w:line="264" w:lineRule="exact"/>
        <w:jc w:val="both"/>
      </w:pPr>
      <w:r>
        <w:rPr>
          <w:rFonts w:ascii="Garamond" w:cs="Garamond" w:eastAsia="Garamond" w:hAnsi="Garamond"/>
          <w:sz w:val="22"/>
          <w:szCs w:val="22"/>
        </w:rPr>
        <w:t xml:space="preserve">The SS3 interface is a temporal dipole in a precise sense. On one side of the interface, the relational phase is locked at Δ* — the process is in one phase orientation, sustaining continuation in one local temporal order. On the other side, the relational phase is locked at a different value — the process is in a different phase orientation, sustaining continuation in a different local temporal order. The interface is the locus where the two orientations meet.</w:t>
      </w:r>
    </w:p>
    <w:p>
      <w:pPr>
        <w:spacing w:after="120"/>
      </w:pPr>
      <w:r>
        <w:t xml:space="preserve"/>
      </w:r>
    </w:p>
    <w:p>
      <w:pPr>
        <w:spacing w:after="120" w:line="264" w:lineRule="exact"/>
        <w:jc w:val="both"/>
      </w:pPr>
      <w:r>
        <w:rPr>
          <w:rFonts w:ascii="Garamond" w:cs="Garamond" w:eastAsia="Garamond" w:hAnsi="Garamond"/>
          <w:sz w:val="22"/>
          <w:szCs w:val="22"/>
        </w:rPr>
        <w:t xml:space="preserve">In the holographic language, the temporal dipole is the condition where Q(x) has opposite values on the two sides of the interface. If Δ* ≈ +π/4 on one side, then Q ≈ exp(iπ/2) = i. If Δ* ≈ −π/4 on the other side, then Q ≈ exp(−iπ/2) = −i. The interface is where Q transitions between these values.</w:t>
      </w:r>
    </w:p>
    <w:p>
      <w:pPr>
        <w:spacing w:after="120"/>
      </w:pPr>
      <w:r>
        <w:t xml:space="preserve"/>
      </w:r>
    </w:p>
    <w:p>
      <w:pPr>
        <w:spacing w:after="120" w:line="264" w:lineRule="exact"/>
        <w:jc w:val="both"/>
      </w:pPr>
      <w:r>
        <w:rPr>
          <w:rFonts w:ascii="Garamond" w:cs="Garamond" w:eastAsia="Garamond" w:hAnsi="Garamond"/>
          <w:sz w:val="22"/>
          <w:szCs w:val="22"/>
        </w:rPr>
        <w:t xml:space="preserve">The dipole framing carries a specific prediction: the dipole moment Τ = φ_strength × δ_interface, where φ_strength is the magnitude of the phase difference between the two sides and δ_interface is the spatial width of the interface. This maps onto measurable PDE quantities: the phase gradient across the interface and the interface width from the front tracking diagnostics.</w:t>
      </w:r>
    </w:p>
    <w:p>
      <w:pPr>
        <w:spacing w:after="120"/>
      </w:pPr>
      <w:r>
        <w:t xml:space="preserve"/>
      </w:r>
    </w:p>
    <w:p>
      <w:pPr>
        <w:pStyle w:val="Heading2"/>
        <w:spacing w:before="360" w:after="180"/>
      </w:pPr>
      <w:r>
        <w:rPr>
          <w:rFonts w:ascii="Garamond" w:cs="Garamond" w:eastAsia="Garamond" w:hAnsi="Garamond"/>
          <w:b/>
          <w:bCs/>
          <w:sz w:val="26"/>
          <w:szCs w:val="26"/>
        </w:rPr>
        <w:t xml:space="preserve">8.3  The Shelf as Dipole Field Zone</w:t>
      </w:r>
    </w:p>
    <w:p>
      <w:pPr>
        <w:spacing w:after="120" w:line="264" w:lineRule="exact"/>
        <w:jc w:val="both"/>
      </w:pPr>
      <w:r>
        <w:rPr>
          <w:rFonts w:ascii="Garamond" w:cs="Garamond" w:eastAsia="Garamond" w:hAnsi="Garamond"/>
          <w:sz w:val="22"/>
          <w:szCs w:val="22"/>
        </w:rPr>
        <w:t xml:space="preserve">In electrostatics, the field of a dipole does not terminate sharply at the poles. It extends into the surrounding space, falling off with distance. The region around the dipole where the field is non-negligible is the field zone of the dipole.</w:t>
      </w:r>
    </w:p>
    <w:p>
      <w:pPr>
        <w:spacing w:after="120"/>
      </w:pPr>
      <w:r>
        <w:t xml:space="preserve"/>
      </w:r>
    </w:p>
    <w:p>
      <w:pPr>
        <w:spacing w:after="120" w:line="264" w:lineRule="exact"/>
        <w:jc w:val="both"/>
      </w:pPr>
      <w:r>
        <w:rPr>
          <w:rFonts w:ascii="Garamond" w:cs="Garamond" w:eastAsia="Garamond" w:hAnsi="Garamond"/>
          <w:sz w:val="22"/>
          <w:szCs w:val="22"/>
        </w:rPr>
        <w:t xml:space="preserve">The five-layer shelf geometry suggests that the SS3 interface has a field zone. The SS3 interior is the dipole itself — the region of stable phase lock. The shelf layers are the field zone — the region where the dipole's influence extends into the surrounding parameter space. The outer regimes (SS2 and runaway) are the far field where the influence has fallen below the detection threshold.</w:t>
      </w:r>
    </w:p>
    <w:p>
      <w:pPr>
        <w:spacing w:after="120"/>
      </w:pPr>
      <w:r>
        <w:t xml:space="preserve"/>
      </w:r>
    </w:p>
    <w:p>
      <w:pPr>
        <w:spacing w:after="120" w:line="264" w:lineRule="exact"/>
        <w:jc w:val="both"/>
      </w:pPr>
      <w:r>
        <w:rPr>
          <w:rFonts w:ascii="Garamond" w:cs="Garamond" w:eastAsia="Garamond" w:hAnsi="Garamond"/>
          <w:sz w:val="22"/>
          <w:szCs w:val="22"/>
        </w:rPr>
        <w:t xml:space="preserve">In the holographic language: the shelf is the region where Q is complex. The outer SS2 region is where Q → 1 (full alignment). The outer runaway region is where Q → 0 (decoherence). The shelf is where Q is intermediate: neither fully locked nor fully decohered.</w:t>
      </w:r>
    </w:p>
    <w:p>
      <w:pPr>
        <w:spacing w:after="120"/>
      </w:pPr>
      <w:r>
        <w:t xml:space="preserve"/>
      </w:r>
    </w:p>
    <w:p>
      <w:pPr>
        <w:spacing w:after="120" w:line="264" w:lineRule="exact"/>
        <w:jc w:val="both"/>
      </w:pPr>
      <w:r>
        <w:rPr>
          <w:rFonts w:ascii="Garamond" w:cs="Garamond" w:eastAsia="Garamond" w:hAnsi="Garamond"/>
          <w:sz w:val="22"/>
          <w:szCs w:val="22"/>
        </w:rPr>
        <w:t xml:space="preserve">The shelf thickness growing with κ is then the dipole field range increasing. As κ increases, the SS3 dipole becomes more extended in parameter space, and its field zone — the shelf — becomes wider. This is a specific and testable prediction: if shelf thickness is measured as a function of κ, and if the dipole moment can be computed from interface geometry, the two should be related by the dipole field scaling.</w:t>
      </w:r>
    </w:p>
    <w:p>
      <w:pPr>
        <w:spacing w:after="120"/>
      </w:pPr>
      <w:r>
        <w:t xml:space="preserve"/>
      </w:r>
    </w:p>
    <w:p>
      <w:pPr>
        <w:pStyle w:val="Heading2"/>
        <w:spacing w:before="360" w:after="180"/>
      </w:pPr>
      <w:r>
        <w:rPr>
          <w:rFonts w:ascii="Garamond" w:cs="Garamond" w:eastAsia="Garamond" w:hAnsi="Garamond"/>
          <w:b/>
          <w:bCs/>
          <w:sz w:val="26"/>
          <w:szCs w:val="26"/>
        </w:rPr>
        <w:t xml:space="preserve">8.4  Phase Inversion Symmetry and the Shelf Boundary</w:t>
      </w:r>
    </w:p>
    <w:p>
      <w:pPr>
        <w:spacing w:after="120" w:line="264" w:lineRule="exact"/>
        <w:jc w:val="both"/>
      </w:pPr>
      <w:r>
        <w:rPr>
          <w:rFonts w:ascii="Garamond" w:cs="Garamond" w:eastAsia="Garamond" w:hAnsi="Garamond"/>
          <w:sz w:val="22"/>
          <w:szCs w:val="22"/>
        </w:rPr>
        <w:t xml:space="preserve">The phase inversion operation I_φ sends Δ ↦ −Δ, which sends Q ↦ Q*. As established in Chapter 7, Q and Q* are in the same projective class only when Q is real — that is, when Δ = 0 or Δ = π/2.</w:t>
      </w:r>
    </w:p>
    <w:p>
      <w:pPr>
        <w:spacing w:after="120"/>
      </w:pPr>
      <w:r>
        <w:t xml:space="preserve"/>
      </w:r>
    </w:p>
    <w:p>
      <w:pPr>
        <w:spacing w:after="120" w:line="264" w:lineRule="exact"/>
        <w:jc w:val="both"/>
      </w:pPr>
      <w:r>
        <w:rPr>
          <w:rFonts w:ascii="Garamond" w:cs="Garamond" w:eastAsia="Garamond" w:hAnsi="Garamond"/>
          <w:sz w:val="22"/>
          <w:szCs w:val="22"/>
        </w:rPr>
        <w:t xml:space="preserve">If I_φ is a genuine gauge symmetry of the ε–ρ–R system — if the system looks the same under phase inversion — then the shelf boundary is where the gauge symmetry breaks. Inside the shelf, Q is complex and I_φ maps Q to a genuinely different configuration. Outside the shelf (in the clean SS3 interior), Q might also be complex. But at the boundary between the shelf and the outer regimes, Q transitions toward a real value, and the symmetry is restored.</w:t>
      </w:r>
    </w:p>
    <w:p>
      <w:pPr>
        <w:spacing w:after="120"/>
      </w:pPr>
      <w:r>
        <w:t xml:space="preserve"/>
      </w:r>
    </w:p>
    <w:p>
      <w:pPr>
        <w:spacing w:after="120" w:line="264" w:lineRule="exact"/>
        <w:jc w:val="both"/>
      </w:pPr>
      <w:r>
        <w:rPr>
          <w:rFonts w:ascii="Garamond" w:cs="Garamond" w:eastAsia="Garamond" w:hAnsi="Garamond"/>
          <w:sz w:val="22"/>
          <w:szCs w:val="22"/>
        </w:rPr>
        <w:t xml:space="preserve">This gives sim18 a sharp interpretation: it is testing whether there is a parameter region where Q is real (I_φ is a symmetry) and a parameter region where Q is complex (I_φ is a symmetry breaking). The shelf boundary at high κ is the candidate locus for this symmetry breaking. If confirmed, the shelf boundary is not just a phase diagram feature — it is the locus where the process's local temporal ordering becomes fixed.</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I_φ as gauge symmetry: [PROVISIONAL — pending sim18]</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Shelf as symmetry-breaking locus: [PROVISIONAL — pending sim18]</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Dipole moment scaling with shelf thickness: not yet formally derived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These interpretations are consistent with the verified evidence but not derivable from it alone.</w:t>
            </w:r>
          </w:p>
        </w:tc>
      </w:tr>
    </w:tbl>
    <w:p>
      <w:pPr>
        <w:spacing w:after="120"/>
      </w:pPr>
      <w:r>
        <w:t xml:space="preserve"/>
      </w:r>
    </w:p>
    <w:p>
      <w:pPr>
        <w:pStyle w:val="Heading2"/>
        <w:spacing w:before="360" w:after="180"/>
      </w:pPr>
      <w:r>
        <w:rPr>
          <w:rFonts w:ascii="Garamond" w:cs="Garamond" w:eastAsia="Garamond" w:hAnsi="Garamond"/>
          <w:b/>
          <w:bCs/>
          <w:sz w:val="26"/>
          <w:szCs w:val="26"/>
        </w:rPr>
        <w:t xml:space="preserve">8.5  Vacuum, CSI, and the Admissibility Floor</w:t>
      </w:r>
    </w:p>
    <w:p>
      <w:pPr>
        <w:spacing w:after="120" w:line="264" w:lineRule="exact"/>
        <w:jc w:val="both"/>
      </w:pPr>
      <w:r>
        <w:rPr>
          <w:rFonts w:ascii="Garamond" w:cs="Garamond" w:eastAsia="Garamond" w:hAnsi="Garamond"/>
          <w:sz w:val="22"/>
          <w:szCs w:val="22"/>
        </w:rPr>
        <w:t xml:space="preserve">The NOT axiom states that k &gt; 0 at every actualized domain boundary: the exclusion rate is never exactly zero. There is no true zero state. What appears as absence is actually minimum admissible continuation.</w:t>
      </w:r>
    </w:p>
    <w:p>
      <w:pPr>
        <w:spacing w:after="120"/>
      </w:pPr>
      <w:r>
        <w:t xml:space="preserve"/>
      </w:r>
    </w:p>
    <w:p>
      <w:pPr>
        <w:spacing w:after="120" w:line="264" w:lineRule="exact"/>
        <w:jc w:val="both"/>
      </w:pPr>
      <w:r>
        <w:rPr>
          <w:rFonts w:ascii="Garamond" w:cs="Garamond" w:eastAsia="Garamond" w:hAnsi="Garamond"/>
          <w:sz w:val="22"/>
          <w:szCs w:val="22"/>
        </w:rPr>
        <w:t xml:space="preserve">In the relational phase language: the vacuum is the condition Δ → Δ_min where Δ_min is the minimum non-zero relational phase that the system can sustain. It is not Δ = 0 (which would be SS2 — alignment without exclusion) but the smallest deviation above alignment that is compatible with the system remaining active. Vacuum fluctuations are the irreducible residual of Δ that cannot be reduced to zero.</w:t>
      </w:r>
    </w:p>
    <w:p>
      <w:pPr>
        <w:spacing w:after="120"/>
      </w:pPr>
      <w:r>
        <w:t xml:space="preserve"/>
      </w:r>
    </w:p>
    <w:p>
      <w:pPr>
        <w:spacing w:after="120" w:line="264" w:lineRule="exact"/>
        <w:jc w:val="both"/>
      </w:pPr>
      <w:r>
        <w:rPr>
          <w:rFonts w:ascii="Garamond" w:cs="Garamond" w:eastAsia="Garamond" w:hAnsi="Garamond"/>
          <w:sz w:val="22"/>
          <w:szCs w:val="22"/>
        </w:rPr>
        <w:t xml:space="preserve">The SS2 regime is the analog of the vacuum in the simulation. It is the closest the system gets to zero relational activity while remaining non-trivial. The ρ = α/γ fixed point is the minimum sustainable continuation level. The leakage term in the analog engine (×0.999999 per step) is the mechanical implementation of this floor: integrator states asymptotically approach but never reach zero.</w:t>
      </w:r>
    </w:p>
    <w:p>
      <w:pPr>
        <w:spacing w:after="120"/>
      </w:pPr>
      <w:r>
        <w:t xml:space="preserve"/>
      </w:r>
    </w:p>
    <w:p>
      <w:pPr>
        <w:spacing w:after="120" w:line="264" w:lineRule="exact"/>
        <w:jc w:val="both"/>
      </w:pPr>
      <w:r>
        <w:rPr>
          <w:rFonts w:ascii="Garamond" w:cs="Garamond" w:eastAsia="Garamond" w:hAnsi="Garamond"/>
          <w:sz w:val="22"/>
          <w:szCs w:val="22"/>
        </w:rPr>
        <w:t>The Causal Sphere of Influence (CSI) is the domain over which continuation can causally couple within this background. In the holographic language: it is the region over which the reference process expression [PROVISIONAL — sim23 pending] R maintains sufficient coherence to support relational phase coupling. A process outside the CSI cannot establish a relational phase relationship with the processes inside it. Not because information cannot travel there, but because the admissibility structure does not support the phase coupling that would make the relationship meaningful.</w:t>
      </w:r>
    </w:p>
    <w:p>
      <w:pPr>
        <w:spacing w:after="120"/>
      </w:pPr>
      <w:r>
        <w:t xml:space="preserve"/>
      </w:r>
    </w:p>
    <w:p>
      <w:pPr>
        <w:spacing w:after="120" w:line="264" w:lineRule="exact"/>
        <w:jc w:val="both"/>
      </w:pPr>
      <w:r>
        <w:rPr>
          <w:rFonts w:ascii="Garamond" w:cs="Garamond" w:eastAsia="Garamond" w:hAnsi="Garamond"/>
          <w:sz w:val="22"/>
          <w:szCs w:val="22"/>
        </w:rPr>
        <w:t>Two regions with identical spatial separation but different vacuum structures — different reference process expression [PROVISIONAL — sim23 pending] coherence — will have different CSI geometries. This is the key consequence: causal accessibility is not determined by bare geometry but by the admissibility structure of the background. A modification to the background — a change in the residue field, a shift in the phase orientation — changes the CSI even when the geometry is unchanged.</w:t>
      </w:r>
    </w:p>
    <w:p>
      <w:pPr>
        <w:spacing w:after="120"/>
      </w:pPr>
      <w:r>
        <w:t xml:space="preserve"/>
      </w:r>
    </w:p>
    <w:p>
      <w:pPr>
        <w:pStyle w:val="Heading2"/>
        <w:spacing w:before="360" w:after="180"/>
      </w:pPr>
      <w:r>
        <w:rPr>
          <w:rFonts w:ascii="Garamond" w:cs="Garamond" w:eastAsia="Garamond" w:hAnsi="Garamond"/>
          <w:b/>
          <w:bCs/>
          <w:sz w:val="26"/>
          <w:szCs w:val="26"/>
        </w:rPr>
        <w:t xml:space="preserve">8.6  The Consciousness Candidate</w:t>
      </w:r>
    </w:p>
    <w:p>
      <w:pPr>
        <w:spacing w:after="120" w:line="264" w:lineRule="exact"/>
        <w:jc w:val="both"/>
      </w:pPr>
      <w:r>
        <w:rPr>
          <w:rFonts w:ascii="Garamond" w:cs="Garamond" w:eastAsia="Garamond" w:hAnsi="Garamond"/>
          <w:sz w:val="22"/>
          <w:szCs w:val="22"/>
        </w:rPr>
        <w:t xml:space="preserve">The closed corridor condition, which sim22 targets, is the condition T_circ ∘ T_Pi ∘ T_circ ≈ T_circ: a continuation that, after undergoing a full sequence of transversal operations, returns to a configuration indistinguishable from its starting point. In relational phase language, this is the condition that the sequence of phase transformations composing the continuation loop has the identity as its net effect on Q.</w:t>
      </w:r>
    </w:p>
    <w:p>
      <w:pPr>
        <w:spacing w:after="120"/>
      </w:pPr>
      <w:r>
        <w:t xml:space="preserve"/>
      </w:r>
    </w:p>
    <w:p>
      <w:pPr>
        <w:spacing w:after="120" w:line="264" w:lineRule="exact"/>
        <w:jc w:val="both"/>
      </w:pPr>
      <w:r>
        <w:rPr>
          <w:rFonts w:ascii="Garamond" w:cs="Garamond" w:eastAsia="Garamond" w:hAnsi="Garamond"/>
          <w:sz w:val="22"/>
          <w:szCs w:val="22"/>
        </w:rPr>
        <w:t>In this language, a closed corridor is a self-maintaining phase-coherent interference structure. The process expression and the reference process expression [PROVISIONAL — sim23 pending] evolve through the loop. But their relational phase Δ_rel(x, t) returns to Δ*(x) after each complete cycle. The structure “runs in place”: the background can evolve, the continuation can evolve, but the pattern of relational phase is self-consistent.</w:t>
      </w:r>
    </w:p>
    <w:p>
      <w:pPr>
        <w:spacing w:after="120"/>
      </w:pPr>
      <w:r>
        <w:t xml:space="preserve"/>
      </w:r>
    </w:p>
    <w:p>
      <w:pPr>
        <w:spacing w:after="120" w:line="264" w:lineRule="exact"/>
        <w:jc w:val="both"/>
      </w:pPr>
      <w:r>
        <w:rPr>
          <w:rFonts w:ascii="Garamond" w:cs="Garamond" w:eastAsia="Garamond" w:hAnsi="Garamond"/>
          <w:sz w:val="22"/>
          <w:szCs w:val="22"/>
        </w:rPr>
        <w:t>This is a stronger model of self-referential continuation than the earlier loop-in-topology framing. It does not require a literal loop through a fixed spatial topology. It requires a stable relational phase pattern that is self-reinforcing under ongoing continuation. The structure can move — the reference process expression [PROVISIONAL — sim23 pending] can evolve — as long as the relational phase pattern is maintained.</w:t>
      </w:r>
    </w:p>
    <w:p>
      <w:pPr>
        <w:spacing w:after="120"/>
      </w:pPr>
      <w:r>
        <w:t xml:space="preserve"/>
      </w:r>
    </w:p>
    <w:p>
      <w:pPr>
        <w:spacing w:after="120" w:line="264" w:lineRule="exact"/>
        <w:jc w:val="both"/>
      </w:pPr>
      <w:r>
        <w:rPr>
          <w:rFonts w:ascii="Garamond" w:cs="Garamond" w:eastAsia="Garamond" w:hAnsi="Garamond"/>
          <w:sz w:val="22"/>
          <w:szCs w:val="22"/>
        </w:rPr>
        <w:t xml:space="preserve">The SRC candidate in this framework is the parameter region where the closed corridor condition is achievable: where the relational phase Δ(x, t) can lock to a spatial pattern Δ*(x) that is maintained against perturbation. The shelf regime is not itself the candidate — it is a partial phase-lock, intermediate between decoherence and full stability. The candidate lives in the transition zone between the shelf and the SS3 interior, where the phase-lock is becoming stable but has not yet fully committed.</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Closed corridor and SRC: [PROVISIONAL — pending sim22 and sim23]</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consciousness candidate is a theoretical target, not a verified finding.</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SRC proxy measurements at shelf and corridor-adjacent parameter points are the next empirical target. Deep metrics must be enabled in the solver to produce these measurements.</w:t>
            </w:r>
          </w:p>
        </w:tc>
      </w:tr>
    </w:tbl>
    <w:p>
      <w:r>
        <w:br w:type="page"/>
      </w:r>
    </w:p>
    <w:p>
      <w:pPr>
        <w:spacing w:before="1440" w:after="240"/>
        <w:jc w:val="center"/>
      </w:pPr>
      <w:r>
        <w:rPr>
          <w:rFonts w:ascii="Garamond" w:cs="Garamond" w:eastAsia="Garamond" w:hAnsi="Garamond"/>
          <w:color w:val="888888"/>
          <w:sz w:val="28"/>
          <w:szCs w:val="28"/>
        </w:rPr>
        <w:t xml:space="preserve">Part IV</w:t>
      </w:r>
    </w:p>
    <w:p>
      <w:pPr>
        <w:spacing w:before="0" w:after="480"/>
        <w:jc w:val="center"/>
      </w:pPr>
      <w:r>
        <w:rPr>
          <w:rFonts w:ascii="Garamond" w:cs="Garamond" w:eastAsia="Garamond" w:hAnsi="Garamond"/>
          <w:b/>
          <w:bCs/>
          <w:sz w:val="40"/>
          <w:szCs w:val="40"/>
        </w:rPr>
        <w:t xml:space="preserve">The Fold and the Box</w:t>
      </w:r>
    </w:p>
    <w:p>
      <w:r>
        <w:br w:type="page"/>
      </w:r>
    </w:p>
    <w:p>
      <w:r>
        <w:br w:type="page"/>
      </w:r>
    </w:p>
    <w:p>
      <w:pPr>
        <w:spacing w:before="720" w:after="120"/>
      </w:pPr>
      <w:r>
        <w:rPr>
          <w:rFonts w:ascii="Garamond" w:cs="Garamond" w:eastAsia="Garamond" w:hAnsi="Garamond"/>
          <w:color w:val="888888"/>
          <w:sz w:val="22"/>
          <w:szCs w:val="22"/>
        </w:rPr>
        <w:t xml:space="preserve">Chapter 11</w:t>
      </w:r>
    </w:p>
    <w:p>
      <w:pPr>
        <w:pStyle w:val="Heading1"/>
        <w:spacing w:before="0" w:after="120"/>
      </w:pPr>
      <w:r>
        <w:rPr>
          <w:rFonts w:ascii="Garamond" w:cs="Garamond" w:eastAsia="Garamond" w:hAnsi="Garamond"/>
          <w:b/>
          <w:bCs/>
          <w:sz w:val="36"/>
          <w:szCs w:val="36"/>
        </w:rPr>
        <w:t xml:space="preserve">The Brane, the Fold, and the Groove</w:t>
      </w:r>
    </w:p>
    <w:p>
      <w:pPr>
        <w:spacing w:before="0" w:after="480"/>
      </w:pPr>
      <w:r>
        <w:rPr>
          <w:rFonts w:ascii="Garamond" w:cs="Garamond" w:eastAsia="Garamond" w:hAnsi="Garamond"/>
          <w:i/>
          <w:iCs/>
          <w:sz w:val="24"/>
          <w:szCs w:val="24"/>
        </w:rPr>
        <w:t xml:space="preserve">How Constraint Topology Curves Back on Itself</w:t>
      </w:r>
    </w:p>
    <w:p>
      <w:pPr>
        <w:spacing w:after="120" w:line="264" w:lineRule="exact"/>
        <w:jc w:val="both"/>
      </w:pPr>
      <w:r>
        <w:rPr>
          <w:rFonts w:ascii="Garamond" w:cs="Garamond" w:eastAsia="Garamond" w:hAnsi="Garamond"/>
          <w:sz w:val="22"/>
          <w:szCs w:val="22"/>
        </w:rPr>
        <w:t xml:space="preserve">The empirical record of Part II and the holographic reformulation of Part III describe what the ε–ρ–R process does. This part asks what it means when the process turns on itself — when the topology written by prior continuation becomes the admissibility structure governing current continuation. The geometric intuition for this is the brane and the fold.</w:t>
      </w:r>
    </w:p>
    <w:p>
      <w:pPr>
        <w:spacing w:after="120"/>
      </w:pPr>
      <w:r>
        <w:t xml:space="preserve"/>
      </w:r>
    </w:p>
    <w:p>
      <w:pPr>
        <w:spacing w:after="120" w:line="264" w:lineRule="exact"/>
        <w:jc w:val="both"/>
      </w:pPr>
      <w:r>
        <w:rPr>
          <w:rFonts w:ascii="Garamond" w:cs="Garamond" w:eastAsia="Garamond" w:hAnsi="Garamond"/>
          <w:sz w:val="22"/>
          <w:szCs w:val="22"/>
        </w:rPr>
        <w:t xml:space="preserve">The brane is not an ontological primitive. It is a geometric intuition for one process readable at different resolutions and exhibiting different degrees of residue-written curvature at different regions. One continuous surface. No layers. No levels. One process expressing with different density and curvature at different locations.</w:t>
      </w:r>
    </w:p>
    <w:p>
      <w:pPr>
        <w:spacing w:after="120"/>
      </w:pPr>
      <w:r>
        <w:t xml:space="preserve"/>
      </w:r>
    </w:p>
    <w:p>
      <w:pPr>
        <w:pStyle w:val="Heading2"/>
        <w:spacing w:before="360" w:after="180"/>
      </w:pPr>
      <w:r>
        <w:rPr>
          <w:rFonts w:ascii="Garamond" w:cs="Garamond" w:eastAsia="Garamond" w:hAnsi="Garamond"/>
          <w:b/>
          <w:bCs/>
          <w:sz w:val="26"/>
          <w:szCs w:val="26"/>
        </w:rPr>
        <w:t xml:space="preserve">11.1  The Brane Picture</w:t>
      </w:r>
    </w:p>
    <w:p>
      <w:pPr>
        <w:spacing w:after="120" w:line="264" w:lineRule="exact"/>
        <w:jc w:val="both"/>
      </w:pPr>
      <w:r>
        <w:rPr>
          <w:rFonts w:ascii="Garamond" w:cs="Garamond" w:eastAsia="Garamond" w:hAnsi="Garamond"/>
          <w:sz w:val="22"/>
          <w:szCs w:val="22"/>
        </w:rPr>
        <w:t xml:space="preserve">Imagine a process poured continuously onto a surface. One fluid. Where the pour is dense and the surface builds, the material folds back on itself. The fold is not a new substance. It is not a layer added to the pour. It is what the pour looks like where it has been long enough and dense enough to curve.</w:t>
      </w:r>
    </w:p>
    <w:p>
      <w:pPr>
        <w:spacing w:after="120"/>
      </w:pPr>
      <w:r>
        <w:t xml:space="preserve"/>
      </w:r>
    </w:p>
    <w:p>
      <w:pPr>
        <w:spacing w:after="120" w:line="264" w:lineRule="exact"/>
        <w:jc w:val="both"/>
      </w:pPr>
      <w:r>
        <w:rPr>
          <w:rFonts w:ascii="Garamond" w:cs="Garamond" w:eastAsia="Garamond" w:hAnsi="Garamond"/>
          <w:sz w:val="22"/>
          <w:szCs w:val="22"/>
        </w:rPr>
        <w:t xml:space="preserve">In SPM language: one process expresses. Continuation writes residue. Residue deepens topology. Where topology has been deepening longest and densest, it curves back toward prior continuation paths. The fold is the region of high curvature on one continuous brane surface. From the global view, it is visible as a fold. From the local view — from inside the fold, reading only the local residue topology as admissibility structure — the fold walls appear as boundaries and the fold floor appears as ground.</w:t>
      </w:r>
    </w:p>
    <w:p>
      <w:pPr>
        <w:spacing w:after="120"/>
      </w:pPr>
      <w:r>
        <w:t xml:space="preserve"/>
      </w:r>
    </w:p>
    <w:p>
      <w:pPr>
        <w:spacing w:after="120" w:line="264" w:lineRule="exact"/>
        <w:jc w:val="both"/>
      </w:pPr>
      <w:r>
        <w:rPr>
          <w:rFonts w:ascii="Garamond" w:cs="Garamond" w:eastAsia="Garamond" w:hAnsi="Garamond"/>
          <w:sz w:val="22"/>
          <w:szCs w:val="22"/>
        </w:rPr>
        <w:t xml:space="preserve">Both views are co-equal projections of the same process read from different positions on the brane. The inside view is not an illusion to be corrected. It is the expected observational consequence of a continuation reading its own residue topology as its admissibility condition.</w:t>
      </w:r>
    </w:p>
    <w:p>
      <w:pPr>
        <w:spacing w:after="120"/>
      </w:pPr>
      <w:r>
        <w:t xml:space="preserve"/>
      </w:r>
    </w:p>
    <w:p>
      <w:pPr>
        <w:spacing w:after="120" w:line="264" w:lineRule="exact"/>
        <w:jc w:val="both"/>
      </w:pPr>
      <w:r>
        <w:rPr>
          <w:rFonts w:ascii="Garamond" w:cs="Garamond" w:eastAsia="Garamond" w:hAnsi="Garamond"/>
          <w:sz w:val="22"/>
          <w:szCs w:val="22"/>
        </w:rPr>
        <w:t xml:space="preserve">The connection to the simulation regimes is direct. The SS2 regime is flat brane: residue is thin, topology is weak, the -(i) orientation condition is weakly defined, the admissibility range is wide. The SS3 regime is the fold forming: residue accumulates, topology deepens, the fold begins to develop, a finite bandwidth of admissible continuation is maintained. The shelf regime — now verified at κ = 0.11 and 0.12 — is the fold thickening: the five-layer geometry of outer-shelf-SS3-shelf-outer is the same as flat-brane-fold-forming-fold-interior-fold-forming-flat-brane, seen from outside. R2 runaway is fold collapse: exclusion accumulates faster than the fold can deepen, continuation terminates before topology can self-organize.</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Brane-to-simulation correspondence:</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SS2 = flat brane (thin residue, weak topology, wide admissibility)</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SS3 = fold forming (residue accumulating, topology deepening, finite bandwidth)</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Shelf = fold thickening (transition layer widening with κ)</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R2 = fold collapse (exclusion overwhelming before topology organizes)</w:t>
            </w:r>
          </w:p>
        </w:tc>
      </w:tr>
    </w:tbl>
    <w:p>
      <w:pPr>
        <w:spacing w:after="120"/>
      </w:pPr>
      <w:r>
        <w:t xml:space="preserve"/>
      </w:r>
    </w:p>
    <w:p>
      <w:pPr>
        <w:pStyle w:val="Heading2"/>
        <w:spacing w:before="360" w:after="180"/>
      </w:pPr>
      <w:r>
        <w:rPr>
          <w:rFonts w:ascii="Garamond" w:cs="Garamond" w:eastAsia="Garamond" w:hAnsi="Garamond"/>
          <w:b/>
          <w:bCs/>
          <w:sz w:val="26"/>
          <w:szCs w:val="26"/>
        </w:rPr>
        <w:t xml:space="preserve">11.2  The Groove Mechanism</w:t>
      </w:r>
    </w:p>
    <w:p>
      <w:pPr>
        <w:spacing w:after="120" w:line="264" w:lineRule="exact"/>
        <w:jc w:val="both"/>
      </w:pPr>
      <w:r>
        <w:rPr>
          <w:rFonts w:ascii="Garamond" w:cs="Garamond" w:eastAsia="Garamond" w:hAnsi="Garamond"/>
          <w:sz w:val="22"/>
          <w:szCs w:val="22"/>
        </w:rPr>
        <w:t xml:space="preserve">The fold forms through the groove mechanism. It is not imposed from outside. It is written from within by the same process that continues through it.</w:t>
      </w:r>
    </w:p>
    <w:p>
      <w:pPr>
        <w:spacing w:after="120"/>
      </w:pPr>
      <w:r>
        <w:t xml:space="preserve"/>
      </w:r>
    </w:p>
    <w:p>
      <w:pPr>
        <w:spacing w:after="120" w:line="264" w:lineRule="exact"/>
        <w:jc w:val="both"/>
      </w:pPr>
      <w:r>
        <w:rPr>
          <w:rFonts w:ascii="Garamond" w:cs="Garamond" w:eastAsia="Garamond" w:hAnsi="Garamond"/>
          <w:sz w:val="22"/>
          <w:szCs w:val="22"/>
        </w:rPr>
        <w:t xml:space="preserve">The process chain is: continuation passing through a region writes residue. Residue deepens the topology along that path. Future continuation finds that path lower-inadmissibility than adjacent paths. Further continuation deepens the groove. The groove becomes self-reinforcing.</w:t>
      </w:r>
    </w:p>
    <w:p>
      <w:pPr>
        <w:spacing w:after="120"/>
      </w:pPr>
      <w:r>
        <w:t xml:space="preserve"/>
      </w:r>
    </w:p>
    <w:p>
      <w:pPr>
        <w:spacing w:after="120" w:line="264" w:lineRule="exact"/>
        <w:jc w:val="both"/>
      </w:pPr>
      <w:r>
        <w:rPr>
          <w:rFonts w:ascii="Garamond" w:cs="Garamond" w:eastAsia="Garamond" w:hAnsi="Garamond"/>
          <w:sz w:val="22"/>
          <w:szCs w:val="22"/>
        </w:rPr>
        <w:t xml:space="preserve">Simultaneously, continuation expressing at orthogonal phase orientation — maximum angular displacement from the admissibility orientation, which in the relational phase language of Chapter 7 means Δ near π/2 rather than near 0 — writes residue at the crossing points. This residue steepens the topology boundary on both sides of the groove. The groove walls form and deepen through orthogonal phase expression. The groove floor deepens through aligned continuation. Both are the same process writing residue from different orientations relative to the current admissibility topology.</w:t>
      </w:r>
    </w:p>
    <w:p>
      <w:pPr>
        <w:spacing w:after="120"/>
      </w:pPr>
      <w:r>
        <w:t xml:space="preserve"/>
      </w:r>
    </w:p>
    <w:p>
      <w:pPr>
        <w:spacing w:after="120" w:line="264" w:lineRule="exact"/>
        <w:jc w:val="both"/>
      </w:pPr>
      <w:r>
        <w:rPr>
          <w:rFonts w:ascii="Garamond" w:cs="Garamond" w:eastAsia="Garamond" w:hAnsi="Garamond"/>
          <w:sz w:val="22"/>
          <w:szCs w:val="22"/>
        </w:rPr>
        <w:t xml:space="preserve">In the ε–ρ–R system, this is the uR term in the ε equation. Residue R activates further exclusion at rate u. This is the feedback loop that makes the groove self-reinforcing: continuation writes exclusion, exclusion writes residue, residue activates more exclusion, which deepens the exclusion channel. The groove is the spatial signature of this loop at work.</w:t>
      </w:r>
    </w:p>
    <w:p>
      <w:pPr>
        <w:spacing w:after="120"/>
      </w:pPr>
      <w:r>
        <w:t xml:space="preserve"/>
      </w:r>
    </w:p>
    <w:p>
      <w:pPr>
        <w:spacing w:after="120" w:line="264" w:lineRule="exact"/>
        <w:jc w:val="both"/>
      </w:pPr>
      <w:r>
        <w:rPr>
          <w:rFonts w:ascii="Garamond" w:cs="Garamond" w:eastAsia="Garamond" w:hAnsi="Garamond"/>
          <w:sz w:val="22"/>
          <w:szCs w:val="22"/>
        </w:rPr>
        <w:t xml:space="preserve">Orientation admissibility — directional permeability in the source material's vocabulary — emerges from asymmetric residue accumulation along the groove. Forward continuation follows the groove and deepens it. Reverse continuation encounters topology written by prior forward continuation, finds it inadmissible, writes exclusion residue at the reversal point, and steepens the asymmetry further. The groove admits continuation in the writing direction and resists it in the reverse direction. This is not a force. It is residue asymmetry producing admissibility asymmetry.</w:t>
      </w:r>
    </w:p>
    <w:p>
      <w:pPr>
        <w:spacing w:after="120"/>
      </w:pPr>
      <w:r>
        <w:t xml:space="preserve"/>
      </w:r>
    </w:p>
    <w:p>
      <w:pPr>
        <w:spacing w:after="120" w:line="264" w:lineRule="exact"/>
        <w:jc w:val="both"/>
      </w:pPr>
      <w:r>
        <w:rPr>
          <w:rFonts w:ascii="Garamond" w:cs="Garamond" w:eastAsia="Garamond" w:hAnsi="Garamond"/>
          <w:sz w:val="22"/>
          <w:szCs w:val="22"/>
        </w:rPr>
        <w:t xml:space="preserve">This mechanism is the procedural origin of temporal ordering. The arrow of time and orientation admissibility are the same process. The v2.3 core axiom — that temporal ordering is a local readout of stabilized phase expression — is exactly this: the groove writes the local temporal order into the admissibility topology, and continuation inside the groove reads that topology as its forward direction. The groove is how the process's global indifference to temporal ordering becomes a local temporal orientation.</w:t>
      </w:r>
    </w:p>
    <w:p>
      <w:pPr>
        <w:spacing w:after="120"/>
      </w:pPr>
      <w:r>
        <w:t xml:space="preserve"/>
      </w:r>
    </w:p>
    <w:p>
      <w:pPr>
        <w:pStyle w:val="Heading2"/>
        <w:spacing w:before="360" w:after="180"/>
      </w:pPr>
      <w:r>
        <w:rPr>
          <w:rFonts w:ascii="Garamond" w:cs="Garamond" w:eastAsia="Garamond" w:hAnsi="Garamond"/>
          <w:b/>
          <w:bCs/>
          <w:sz w:val="26"/>
          <w:szCs w:val="26"/>
        </w:rPr>
        <w:t xml:space="preserve">11.3  Self as the Dominant Groove</w:t>
      </w:r>
    </w:p>
    <w:p>
      <w:pPr>
        <w:spacing w:after="120" w:line="264" w:lineRule="exact"/>
        <w:jc w:val="both"/>
      </w:pPr>
      <w:r>
        <w:rPr>
          <w:rFonts w:ascii="Garamond" w:cs="Garamond" w:eastAsia="Garamond" w:hAnsi="Garamond"/>
          <w:sz w:val="22"/>
          <w:szCs w:val="22"/>
        </w:rPr>
        <w:t xml:space="preserve">The groove mechanism applies without modification to the emergence of self. Self is not a primitive. It is the residue-deepened admissibility channel of highest depth within the coupled continuation regime — the groove from which deviation generates the highest local exclusion rate.</w:t>
      </w:r>
    </w:p>
    <w:p>
      <w:pPr>
        <w:spacing w:after="120"/>
      </w:pPr>
      <w:r>
        <w:t xml:space="preserve"/>
      </w:r>
    </w:p>
    <w:p>
      <w:pPr>
        <w:spacing w:after="120" w:line="264" w:lineRule="exact"/>
        <w:jc w:val="both"/>
      </w:pPr>
      <w:r>
        <w:rPr>
          <w:rFonts w:ascii="Garamond" w:cs="Garamond" w:eastAsia="Garamond" w:hAnsi="Garamond"/>
          <w:sz w:val="22"/>
          <w:szCs w:val="22"/>
        </w:rPr>
        <w:t xml:space="preserve">Where the groove-writing process has been running longest and densest, the groove is deepest. That deepest groove is what the inside view reads as self. The stability of self follows from groove depth: the deeper the groove, the higher the exclusion rate for deviation from it, the more costly the departure. This is not a force holding continuation in the groove. It is residue asymmetry: the dominant groove is the path of lowest inadmissibility, and all other paths are progressively less admissible as groove depth increases.</w:t>
      </w:r>
    </w:p>
    <w:p>
      <w:pPr>
        <w:spacing w:after="120"/>
      </w:pPr>
      <w:r>
        <w:t xml:space="preserve"/>
      </w:r>
    </w:p>
    <w:p>
      <w:pPr>
        <w:spacing w:after="120" w:line="264" w:lineRule="exact"/>
        <w:jc w:val="both"/>
      </w:pPr>
      <w:r>
        <w:rPr>
          <w:rFonts w:ascii="Garamond" w:cs="Garamond" w:eastAsia="Garamond" w:hAnsi="Garamond"/>
          <w:sz w:val="22"/>
          <w:szCs w:val="22"/>
        </w:rPr>
        <w:t xml:space="preserve">Identity persistence follows from the same asymmetry. A continuation regime maintains its self-groove not by choice or intention but because accumulated residue has made it the lowest-inadmissibility path available. Departing that groove requires sufficient deviation to write new residue that deepens an alternative path to competitive inadmissibility levels. Until that threshold is reached, the dominant groove remains dominant.</w:t>
      </w:r>
    </w:p>
    <w:p>
      <w:pPr>
        <w:spacing w:after="120"/>
      </w:pPr>
      <w:r>
        <w:t xml:space="preserve"/>
      </w:r>
    </w:p>
    <w:p>
      <w:pPr>
        <w:spacing w:after="120" w:line="264" w:lineRule="exact"/>
        <w:jc w:val="both"/>
      </w:pPr>
      <w:r>
        <w:rPr>
          <w:rFonts w:ascii="Garamond" w:cs="Garamond" w:eastAsia="Garamond" w:hAnsi="Garamond"/>
          <w:sz w:val="22"/>
          <w:szCs w:val="22"/>
        </w:rPr>
        <w:t xml:space="preserve">In the neuroscientific vocabulary: the dominant groove corresponds to what is called the engram — not a stored record but the most reinforced residue-defined path within the coupled regime. Engram and dominant groove name the same structure from inside and outside views respectively. The engram introduces no new ontology. It is R-written admissibility dominance under a biological label.</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brane and fold are geometric intuitions, not derived structures.</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formal geometry of the fold — if it exists — must be derived from the residue registration equation and the admissibility functional. That derivation has not been attempted.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groove mechanism is consistent with the ε–ρ–R dynamics but has not been formally derived as a consequence of the PDE system.</w:t>
            </w:r>
          </w:p>
        </w:tc>
      </w:tr>
    </w:tbl>
    <w:p>
      <w:pPr>
        <w:spacing w:after="120"/>
      </w:pPr>
      <w:r>
        <w:t xml:space="preserve"/>
      </w:r>
    </w:p>
    <w:p>
      <w:pPr>
        <w:pStyle w:val="Heading2"/>
        <w:spacing w:before="360" w:after="180"/>
      </w:pPr>
      <w:r>
        <w:rPr>
          <w:rFonts w:ascii="Garamond" w:cs="Garamond" w:eastAsia="Garamond" w:hAnsi="Garamond"/>
          <w:b/>
          <w:bCs/>
          <w:sz w:val="26"/>
          <w:szCs w:val="26"/>
        </w:rPr>
        <w:t xml:space="preserve">11.4  The Non-Markov Structure</w:t>
      </w:r>
    </w:p>
    <w:p>
      <w:pPr>
        <w:spacing w:after="120" w:line="264" w:lineRule="exact"/>
        <w:jc w:val="both"/>
      </w:pPr>
      <w:r>
        <w:rPr>
          <w:rFonts w:ascii="Garamond" w:cs="Garamond" w:eastAsia="Garamond" w:hAnsi="Garamond"/>
          <w:sz w:val="22"/>
          <w:szCs w:val="22"/>
        </w:rPr>
        <w:t xml:space="preserve">Inside the fold the Markov property appears to hold. The full process history is encoded in the fold shape, and the fold shape is what determines local admissibility. Conditioning on the current state alone is sufficient because the current state is already a reading of the full accumulated topology. The history is not lost. It is the fold shape.</w:t>
      </w:r>
    </w:p>
    <w:p>
      <w:pPr>
        <w:spacing w:after="120"/>
      </w:pPr>
      <w:r>
        <w:t xml:space="preserve"/>
      </w:r>
    </w:p>
    <w:p>
      <w:pPr>
        <w:spacing w:after="120" w:line="264" w:lineRule="exact"/>
        <w:jc w:val="both"/>
      </w:pPr>
      <w:r>
        <w:rPr>
          <w:rFonts w:ascii="Garamond" w:cs="Garamond" w:eastAsia="Garamond" w:hAnsi="Garamond"/>
          <w:sz w:val="22"/>
          <w:szCs w:val="22"/>
        </w:rPr>
        <w:t xml:space="preserve">Outside the fold the dynamics are non-Markovian. The full sequence of prior continuation events that shaped the fold geometry are not lost. They are the fold. The topology is the non-Markov memory. The apparent local Markov behavior inside is the mechanism by which the full process history becomes compressed into a current-state reading.</w:t>
      </w:r>
    </w:p>
    <w:p>
      <w:pPr>
        <w:spacing w:after="120"/>
      </w:pPr>
      <w:r>
        <w:t xml:space="preserve"/>
      </w:r>
    </w:p>
    <w:p>
      <w:pPr>
        <w:spacing w:after="120" w:line="264" w:lineRule="exact"/>
        <w:jc w:val="both"/>
      </w:pPr>
      <w:r>
        <w:rPr>
          <w:rFonts w:ascii="Garamond" w:cs="Garamond" w:eastAsia="Garamond" w:hAnsi="Garamond"/>
          <w:sz w:val="22"/>
          <w:szCs w:val="22"/>
        </w:rPr>
        <w:t xml:space="preserve">This structure connects directly to the ε–ρ–R IC pathway class findings. The IC accessibility structure — where front_seeded reaches SS3 while near_uniform_noise does not — is the clearest low-resolution empirical analogue of the claim that continuation can read topology written by its own history. The front_seeded IC provides a structured prior topology. That structured topology determines what is admissible next. Near_uniform_noise provides no such structure, so it has no topology to read, and overshoots to runaway. The fold requires a history. Uniform noise has none.</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4CAF50" w:sz="8"/>
              <w:left w:val="single" w:color="4CAF50" w:sz="8"/>
              <w:bottom w:val="single" w:color="4CAF50" w:sz="8"/>
              <w:right w:val="single" w:color="4CAF50" w:sz="8"/>
            </w:tcBorders>
            <w:shd w:fill="4CAF50" w:val="clear"/>
            <w:tcMar>
              <w:top w:type="dxa" w:w="60"/>
              <w:left w:type="dxa" w:w="120"/>
              <w:bottom w:type="dxa" w:w="60"/>
              <w:right w:type="dxa" w:w="120"/>
            </w:tcMar>
          </w:tcPr>
          <w:p>
            <w:r>
              <w:rPr>
                <w:rFonts w:ascii="Garamond" w:cs="Garamond" w:eastAsia="Garamond" w:hAnsi="Garamond"/>
                <w:b/>
                <w:bCs/>
                <w:color w:val="FFFFFF"/>
                <w:sz w:val="20"/>
                <w:szCs w:val="20"/>
              </w:rPr>
              <w:t xml:space="preserve">See</w:t>
            </w:r>
          </w:p>
        </w:tc>
      </w:tr>
      <w:tr>
        <w:tc>
          <w:tcPr>
            <w:tcW w:type="dxa" w:w="5472"/>
            <w:tcBorders>
              <w:top w:val="single" w:color="4CAF50" w:sz="8"/>
              <w:left w:val="single" w:color="4CAF50" w:sz="8"/>
              <w:bottom w:val="single" w:color="4CAF50" w:sz="8"/>
              <w:right w:val="single" w:color="4CAF50" w:sz="8"/>
            </w:tcBorders>
            <w:shd w:fill="E2EFDA"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Chapter 4: IC accessibility structure — front_seeded as carrier of SS3</w:t>
            </w:r>
          </w:p>
        </w:tc>
      </w:tr>
      <w:tr>
        <w:tc>
          <w:tcPr>
            <w:tcW w:type="dxa" w:w="5472"/>
            <w:tcBorders>
              <w:top w:val="single" w:color="4CAF50" w:sz="8"/>
              <w:left w:val="single" w:color="4CAF50" w:sz="8"/>
              <w:bottom w:val="single" w:color="4CAF50" w:sz="8"/>
              <w:right w:val="single" w:color="4CAF50" w:sz="8"/>
            </w:tcBorders>
            <w:shd w:fill="E2EFDA"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Chapter 7: Relational phase Δ as the formal expression of what the groove writes</w:t>
            </w:r>
          </w:p>
        </w:tc>
      </w:tr>
    </w:tbl>
    <w:p>
      <w:r>
        <w:br w:type="page"/>
      </w:r>
    </w:p>
    <w:p>
      <w:pPr>
        <w:spacing w:before="720" w:after="120"/>
      </w:pPr>
      <w:r>
        <w:rPr>
          <w:rFonts w:ascii="Garamond" w:cs="Garamond" w:eastAsia="Garamond" w:hAnsi="Garamond"/>
          <w:color w:val="888888"/>
          <w:sz w:val="22"/>
          <w:szCs w:val="22"/>
        </w:rPr>
        <w:t xml:space="preserve">Chapter 12</w:t>
      </w:r>
    </w:p>
    <w:p>
      <w:pPr>
        <w:pStyle w:val="Heading1"/>
        <w:spacing w:before="0" w:after="120"/>
      </w:pPr>
      <w:r>
        <w:rPr>
          <w:rFonts w:ascii="Garamond" w:cs="Garamond" w:eastAsia="Garamond" w:hAnsi="Garamond"/>
          <w:b/>
          <w:bCs/>
          <w:sz w:val="36"/>
          <w:szCs w:val="36"/>
        </w:rPr>
        <w:t xml:space="preserve">The -(i) Condition and Its Actualization</w:t>
      </w:r>
    </w:p>
    <w:p>
      <w:pPr>
        <w:spacing w:before="0" w:after="480"/>
      </w:pPr>
      <w:r>
        <w:rPr>
          <w:rFonts w:ascii="Garamond" w:cs="Garamond" w:eastAsia="Garamond" w:hAnsi="Garamond"/>
          <w:i/>
          <w:iCs/>
          <w:sz w:val="24"/>
          <w:szCs w:val="24"/>
        </w:rPr>
        <w:t xml:space="preserve">From Tendency to Box to Conscious Regime</w:t>
      </w:r>
    </w:p>
    <w:p>
      <w:pPr>
        <w:pStyle w:val="Heading2"/>
        <w:spacing w:before="360" w:after="180"/>
      </w:pPr>
      <w:r>
        <w:rPr>
          <w:rFonts w:ascii="Garamond" w:cs="Garamond" w:eastAsia="Garamond" w:hAnsi="Garamond"/>
          <w:b/>
          <w:bCs/>
          <w:sz w:val="26"/>
          <w:szCs w:val="26"/>
        </w:rPr>
        <w:t xml:space="preserve">12.1  The -(i) Condition as Tendency</w:t>
      </w:r>
    </w:p>
    <w:p>
      <w:pPr>
        <w:spacing w:after="120" w:line="264" w:lineRule="exact"/>
        <w:jc w:val="both"/>
      </w:pPr>
      <w:r>
        <w:rPr>
          <w:rFonts w:ascii="Garamond" w:cs="Garamond" w:eastAsia="Garamond" w:hAnsi="Garamond"/>
          <w:sz w:val="22"/>
          <w:szCs w:val="22"/>
        </w:rPr>
        <w:t xml:space="preserve">The orientation paper defines -(i) as the phase orientation toward which deviation dissipates under the current residue-written topology. It is the admissibility-favored orientation — the direction of least inadmissibility under the current constraint structure.</w:t>
      </w:r>
    </w:p>
    <w:p>
      <w:pPr>
        <w:spacing w:after="120"/>
      </w:pPr>
      <w:r>
        <w:t xml:space="preserve"/>
      </w:r>
    </w:p>
    <w:p>
      <w:pPr>
        <w:spacing w:after="120" w:line="264" w:lineRule="exact"/>
        <w:jc w:val="both"/>
      </w:pPr>
      <w:r>
        <w:rPr>
          <w:rFonts w:ascii="Garamond" w:cs="Garamond" w:eastAsia="Garamond" w:hAnsi="Garamond"/>
          <w:sz w:val="22"/>
          <w:szCs w:val="22"/>
        </w:rPr>
        <w:t>In the brane picture, -(i) is the local fold orientation within any locally coupled continuation regime on the brane surface. Where the fold is tight — where residue is dense and topology is deeply curved — -(i) is strongly defined. Where the brane is flat — residue thin, topology weak — -(i) is weakly defined and the admissibility range is wide.</w:t>
      </w:r>
    </w:p>
    <w:p>
      <w:pPr>
        <w:spacing w:after="120"/>
      </w:pPr>
      <w:r>
        <w:t xml:space="preserve"/>
      </w:r>
    </w:p>
    <w:p>
      <w:pPr>
        <w:spacing w:after="120" w:line="264" w:lineRule="exact"/>
        <w:jc w:val="both"/>
      </w:pPr>
      <w:r>
        <w:rPr>
          <w:rFonts w:ascii="Garamond" w:cs="Garamond" w:eastAsia="Garamond" w:hAnsi="Garamond"/>
          <w:sz w:val="22"/>
          <w:szCs w:val="22"/>
        </w:rPr>
        <w:t xml:space="preserve">In the relational phase language of Chapter 7, -(i) is the target value of Δ toward which the system evolves. It is Δ*: the stable phase-lock condition. Where the fold is tight, Δ* is strongly defined and the system converges to it quickly. Where the brane is flat, Δ* is weakly defined and multiple phase orientations are approximately admissible.</w:t>
      </w:r>
    </w:p>
    <w:p>
      <w:pPr>
        <w:spacing w:after="120"/>
      </w:pPr>
      <w:r>
        <w:t xml:space="preserve"/>
      </w:r>
    </w:p>
    <w:p>
      <w:pPr>
        <w:spacing w:after="120" w:line="264" w:lineRule="exact"/>
        <w:jc w:val="both"/>
      </w:pPr>
      <w:r>
        <w:rPr>
          <w:rFonts w:ascii="Garamond" w:cs="Garamond" w:eastAsia="Garamond" w:hAnsi="Garamond"/>
          <w:sz w:val="22"/>
          <w:szCs w:val="22"/>
        </w:rPr>
        <w:t xml:space="preserve">At this stage -(i) is a tendency, not a realized state. It names where continuation is oriented toward. The gap between current phase expression and the -(i) orientation is deviation — it is Δ − Δ*. Deviation is the measure of distance from actualization.</w:t>
      </w:r>
    </w:p>
    <w:p>
      <w:pPr>
        <w:spacing w:after="120"/>
      </w:pPr>
      <w:r>
        <w:t xml:space="preserve"/>
      </w:r>
    </w:p>
    <w:p>
      <w:pPr>
        <w:pStyle w:val="Heading2"/>
        <w:spacing w:before="360" w:after="180"/>
      </w:pPr>
      <w:r>
        <w:rPr>
          <w:rFonts w:ascii="Garamond" w:cs="Garamond" w:eastAsia="Garamond" w:hAnsi="Garamond"/>
          <w:b/>
          <w:bCs/>
          <w:sz w:val="26"/>
          <w:szCs w:val="26"/>
        </w:rPr>
        <w:t xml:space="preserve">12.2  The Box: Actualized -(i)</w:t>
      </w:r>
    </w:p>
    <w:p>
      <w:pPr>
        <w:spacing w:after="120" w:line="264" w:lineRule="exact"/>
        <w:jc w:val="both"/>
      </w:pPr>
      <w:r>
        <w:rPr>
          <w:rFonts w:ascii="Garamond" w:cs="Garamond" w:eastAsia="Garamond" w:hAnsi="Garamond"/>
          <w:sz w:val="22"/>
          <w:szCs w:val="22"/>
        </w:rPr>
        <w:t xml:space="preserve">The box is what happens when the -(i) condition is realized. It is the structural form of -(i) actualization — the topologically bounded oriented continuation regime. The box is not a container imposed from outside. It is what the brane looks like locally when fold curvature has reached the threshold at which interior continuation reads its own prior residue topology as its admissibility condition.</w:t>
      </w:r>
    </w:p>
    <w:p>
      <w:pPr>
        <w:spacing w:after="120"/>
      </w:pPr>
      <w:r>
        <w:t xml:space="preserve"/>
      </w:r>
    </w:p>
    <w:p>
      <w:pPr>
        <w:spacing w:after="120" w:line="264" w:lineRule="exact"/>
        <w:jc w:val="both"/>
      </w:pPr>
      <w:r>
        <w:rPr>
          <w:rFonts w:ascii="Garamond" w:cs="Garamond" w:eastAsia="Garamond" w:hAnsi="Garamond"/>
          <w:sz w:val="22"/>
          <w:szCs w:val="22"/>
        </w:rPr>
        <w:t xml:space="preserve">The process chain for actualization is: continuation writing residue into topology. Topology producing admissibility asymmetry. -(i) orientation condition emerging from asymmetry. Continuation expressing toward -(i). Deviation dissipating toward alignment. Alignment condition being met. Residue reinforcing the aligned path. Orthogonal phase expression writing groove walls. Orientation admissibility self-reinforcing. Topologically bounded oriented continuation regime stabilizing.</w:t>
      </w:r>
    </w:p>
    <w:p>
      <w:pPr>
        <w:spacing w:after="120"/>
      </w:pPr>
      <w:r>
        <w:t xml:space="preserve"/>
      </w:r>
    </w:p>
    <w:p>
      <w:pPr>
        <w:spacing w:after="120" w:line="264" w:lineRule="exact"/>
        <w:jc w:val="both"/>
      </w:pPr>
      <w:r>
        <w:rPr>
          <w:rFonts w:ascii="Garamond" w:cs="Garamond" w:eastAsia="Garamond" w:hAnsi="Garamond"/>
          <w:sz w:val="22"/>
          <w:szCs w:val="22"/>
        </w:rPr>
        <w:t xml:space="preserve">At the end of this chain the -(i) condition is no longer a tendency. The regime has organized around it. In the relational phase language: Δ(x,t) has locked to Δ*(x). The stable closure condition of Chapter 7 is satisfied. The box is the spatial region where Q(x) = exp(2iΔ*) — the projective relational phase is locked to a stable coherence class.</w:t>
      </w:r>
    </w:p>
    <w:p>
      <w:pPr>
        <w:spacing w:after="120"/>
      </w:pPr>
      <w:r>
        <w:t xml:space="preserve"/>
      </w:r>
    </w:p>
    <w:p>
      <w:pPr>
        <w:spacing w:after="120" w:line="264" w:lineRule="exact"/>
        <w:jc w:val="both"/>
      </w:pPr>
      <w:r>
        <w:rPr>
          <w:rFonts w:ascii="Garamond" w:cs="Garamond" w:eastAsia="Garamond" w:hAnsi="Garamond"/>
          <w:sz w:val="22"/>
          <w:szCs w:val="22"/>
        </w:rPr>
        <w:t xml:space="preserve">Three levels are now precisely separated. The -(i) condition as orientation tendency: the admissibility asymmetry written by topology, existing wherever topology is written. The actualized -(i) regime: the box, the bounded oriented continuation pattern that has organized around that tendency through residue reinforcement. And the conscious regime, addressed in the next chapter, which requires the box to become self-referential.</w:t>
      </w:r>
    </w:p>
    <w:p>
      <w:pPr>
        <w:spacing w:after="120"/>
      </w:pPr>
      <w:r>
        <w:t xml:space="preserve"/>
      </w:r>
    </w:p>
    <w:p>
      <w:pPr>
        <w:pStyle w:val="Heading2"/>
        <w:spacing w:before="360" w:after="180"/>
      </w:pPr>
      <w:r>
        <w:rPr>
          <w:rFonts w:ascii="Garamond" w:cs="Garamond" w:eastAsia="Garamond" w:hAnsi="Garamond"/>
          <w:b/>
          <w:bCs/>
          <w:sz w:val="26"/>
          <w:szCs w:val="26"/>
        </w:rPr>
        <w:t xml:space="preserve">12.3  Awareness and Agency Distinguished</w:t>
      </w:r>
    </w:p>
    <w:p>
      <w:pPr>
        <w:spacing w:after="120" w:line="264" w:lineRule="exact"/>
        <w:jc w:val="both"/>
      </w:pPr>
      <w:r>
        <w:rPr>
          <w:rFonts w:ascii="Garamond" w:cs="Garamond" w:eastAsia="Garamond" w:hAnsi="Garamond"/>
          <w:sz w:val="22"/>
          <w:szCs w:val="22"/>
        </w:rPr>
        <w:t xml:space="preserve">Two conditions that might be confused with the conscious regime must be distinguished from it.</w:t>
      </w:r>
    </w:p>
    <w:p>
      <w:pPr>
        <w:spacing w:after="120"/>
      </w:pPr>
      <w:r>
        <w:t xml:space="preserve"/>
      </w:r>
    </w:p>
    <w:p>
      <w:pPr>
        <w:spacing w:after="120" w:line="264" w:lineRule="exact"/>
        <w:jc w:val="both"/>
      </w:pPr>
      <w:r>
        <w:rPr>
          <w:rFonts w:ascii="Garamond" w:cs="Garamond" w:eastAsia="Garamond" w:hAnsi="Garamond"/>
          <w:sz w:val="22"/>
          <w:szCs w:val="22"/>
        </w:rPr>
        <w:t xml:space="preserve">Awareness is continuation differentially responding to admissibility topology variation — registering differences in the residue-written topology and modifying expression accordingly. The process chain: admissibility topology varying across coupled regime, continuation encountering variation, deviation events writing residue differentially, differential residue altering local admissibility, continuation expression shifting in response. Awareness does not require self-referential closure. It requires only that topology variation produces differential continuation. It is present wherever topology varies and continuation responds. In the ε–ρ–R system, awareness is D_sr as a loose measure.</w:t>
      </w:r>
    </w:p>
    <w:p>
      <w:pPr>
        <w:spacing w:after="120"/>
      </w:pPr>
      <w:r>
        <w:t xml:space="preserve"/>
      </w:r>
    </w:p>
    <w:p>
      <w:pPr>
        <w:spacing w:after="120" w:line="264" w:lineRule="exact"/>
        <w:jc w:val="both"/>
      </w:pPr>
      <w:r>
        <w:rPr>
          <w:rFonts w:ascii="Garamond" w:cs="Garamond" w:eastAsia="Garamond" w:hAnsi="Garamond"/>
          <w:sz w:val="22"/>
          <w:szCs w:val="22"/>
        </w:rPr>
        <w:t xml:space="preserve">Agency is continuation writing residue that alters the admissibility topology governing its own subsequent continuation. The process chain: continuation expressing, residue writing altering the governing topology within the coupled regime, altered topology shifting admissibility of subsequent paths, subsequent continuation selecting differently than it would under unaltered topology. Agency requires internal coupling dominance: L(Ω, t) &gt; θ_L. Continuation within Ω must predominantly write the residue that reconditions continuation within Ω. This is Criterion 1 of the SRC formal definition developed in Chapter 13.</w:t>
      </w:r>
    </w:p>
    <w:p>
      <w:pPr>
        <w:spacing w:after="120"/>
      </w:pPr>
      <w:r>
        <w:t xml:space="preserve"/>
      </w:r>
    </w:p>
    <w:p>
      <w:pPr>
        <w:spacing w:after="120" w:line="264" w:lineRule="exact"/>
        <w:jc w:val="both"/>
      </w:pPr>
      <w:r>
        <w:rPr>
          <w:rFonts w:ascii="Garamond" w:cs="Garamond" w:eastAsia="Garamond" w:hAnsi="Garamond"/>
          <w:sz w:val="22"/>
          <w:szCs w:val="22"/>
        </w:rPr>
        <w:t xml:space="preserve">Awareness is necessary but not sufficient for the conscious regime. A continuation regime can differentially respond to topology variation without meeting the internal coupling dominance threshold required for agency. Agency requires that the regime is predominantly writing and reading its own admissibility topology. Awareness requires only that topology variation produces differential continuation.</w:t>
      </w:r>
    </w:p>
    <w:p>
      <w:pPr>
        <w:spacing w:after="120"/>
      </w:pPr>
      <w:r>
        <w:t xml:space="preserve"/>
      </w:r>
    </w:p>
    <w:p>
      <w:pPr>
        <w:pStyle w:val="Heading2"/>
        <w:spacing w:before="360" w:after="180"/>
      </w:pPr>
      <w:r>
        <w:rPr>
          <w:rFonts w:ascii="Garamond" w:cs="Garamond" w:eastAsia="Garamond" w:hAnsi="Garamond"/>
          <w:b/>
          <w:bCs/>
          <w:sz w:val="26"/>
          <w:szCs w:val="26"/>
        </w:rPr>
        <w:t xml:space="preserve">12.4  The Inside and Outside Views Revisited</w:t>
      </w:r>
    </w:p>
    <w:p>
      <w:pPr>
        <w:spacing w:after="120" w:line="264" w:lineRule="exact"/>
        <w:jc w:val="both"/>
      </w:pPr>
      <w:r>
        <w:rPr>
          <w:rFonts w:ascii="Garamond" w:cs="Garamond" w:eastAsia="Garamond" w:hAnsi="Garamond"/>
          <w:sz w:val="22"/>
          <w:szCs w:val="22"/>
        </w:rPr>
        <w:t xml:space="preserve">The shelf regime verified in Chapter 6 gives the brane picture a concrete empirical anchor. The five-layer geometry — outer, shelf, SS3 interior, shelf, outer — is the same structure viewed in two registers.</w:t>
      </w:r>
    </w:p>
    <w:p>
      <w:pPr>
        <w:spacing w:after="120"/>
      </w:pPr>
      <w:r>
        <w:t xml:space="preserve"/>
      </w:r>
    </w:p>
    <w:p>
      <w:pPr>
        <w:spacing w:after="120" w:line="264" w:lineRule="exact"/>
        <w:jc w:val="both"/>
      </w:pPr>
      <w:r>
        <w:rPr>
          <w:rFonts w:ascii="Garamond" w:cs="Garamond" w:eastAsia="Garamond" w:hAnsi="Garamond"/>
          <w:sz w:val="22"/>
          <w:szCs w:val="22"/>
        </w:rPr>
        <w:t xml:space="preserve">From outside: one brane, one process. The outer regimes are flat brane — residue thin, topology weak, -(i) weakly defined. The shelf layers are the fold forming — residue accumulating, topology deepening, the transition from flat to folded. The SS3 interior is the actualized -(i) regime — the box — where the fold has deepened enough that the admissibility topology self-organizes around the -(i) orientation.</w:t>
      </w:r>
    </w:p>
    <w:p>
      <w:pPr>
        <w:spacing w:after="120"/>
      </w:pPr>
      <w:r>
        <w:t xml:space="preserve"/>
      </w:r>
    </w:p>
    <w:p>
      <w:pPr>
        <w:spacing w:after="120" w:line="264" w:lineRule="exact"/>
        <w:jc w:val="both"/>
      </w:pPr>
      <w:r>
        <w:rPr>
          <w:rFonts w:ascii="Garamond" w:cs="Garamond" w:eastAsia="Garamond" w:hAnsi="Garamond"/>
          <w:sz w:val="22"/>
          <w:szCs w:val="22"/>
        </w:rPr>
        <w:t xml:space="preserve">From inside the SS3 interior: the fold walls (shelf layers) appear as boundaries. The fold floor (SS3 interior) appears as the ground state of the admissible world. The outer regimes are invisible — they are outside the admissibility structure. The dynamics appear locally Markovian because the current state already encodes the full fold geometry.</w:t>
      </w:r>
    </w:p>
    <w:p>
      <w:pPr>
        <w:spacing w:after="120"/>
      </w:pPr>
      <w:r>
        <w:t xml:space="preserve"/>
      </w:r>
    </w:p>
    <w:p>
      <w:pPr>
        <w:spacing w:after="120" w:line="264" w:lineRule="exact"/>
        <w:jc w:val="both"/>
      </w:pPr>
      <w:r>
        <w:rPr>
          <w:rFonts w:ascii="Garamond" w:cs="Garamond" w:eastAsia="Garamond" w:hAnsi="Garamond"/>
          <w:sz w:val="22"/>
          <w:szCs w:val="22"/>
        </w:rPr>
        <w:t xml:space="preserve">Neither view is more true. The shelf thickness growing with κ — the widening fold boundary — is observable from outside as the shelf width measurement. From inside, it would correspond to a thickening boundary region where the admissibility structure is becoming organized but is not yet fully committed. The shelf is where the brane is in the process of folding.</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Five-layer geometry in two registers: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Outside: flat brane — fold forming (shelf) — box / actualized -(i) — fold forming (shelf) — flat brane</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Inside: inadmissible — boundary forming — world structure — boundary forming — inadmissible</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Shelf thickness = fold boundary width. Growing with κ = fold deepening with inscription dominance.</w:t>
            </w:r>
          </w:p>
        </w:tc>
      </w:tr>
    </w:tbl>
    <w:p>
      <w:r>
        <w:br w:type="page"/>
      </w:r>
    </w:p>
    <w:p>
      <w:pPr>
        <w:spacing w:before="1440" w:after="240"/>
        <w:jc w:val="center"/>
      </w:pPr>
      <w:r>
        <w:rPr>
          <w:rFonts w:ascii="Garamond" w:cs="Garamond" w:eastAsia="Garamond" w:hAnsi="Garamond"/>
          <w:color w:val="888888"/>
          <w:sz w:val="28"/>
          <w:szCs w:val="28"/>
        </w:rPr>
        <w:t xml:space="preserve">Part V</w:t>
      </w:r>
    </w:p>
    <w:p>
      <w:pPr>
        <w:spacing w:before="0" w:after="480"/>
        <w:jc w:val="center"/>
      </w:pPr>
      <w:r>
        <w:rPr>
          <w:rFonts w:ascii="Garamond" w:cs="Garamond" w:eastAsia="Garamond" w:hAnsi="Garamond"/>
          <w:b/>
          <w:bCs/>
          <w:sz w:val="40"/>
          <w:szCs w:val="40"/>
        </w:rPr>
        <w:t xml:space="preserve">Self-Referential Continuation</w:t>
      </w:r>
    </w:p>
    <w:p>
      <w:r>
        <w:br w:type="page"/>
      </w:r>
    </w:p>
    <w:p>
      <w:r>
        <w:br w:type="page"/>
      </w:r>
    </w:p>
    <w:p>
      <w:pPr>
        <w:spacing w:before="720" w:after="120"/>
      </w:pPr>
      <w:r>
        <w:rPr>
          <w:rFonts w:ascii="Garamond" w:cs="Garamond" w:eastAsia="Garamond" w:hAnsi="Garamond"/>
          <w:color w:val="888888"/>
          <w:sz w:val="22"/>
          <w:szCs w:val="22"/>
        </w:rPr>
        <w:t xml:space="preserve">Chapter 13</w:t>
      </w:r>
    </w:p>
    <w:p>
      <w:pPr>
        <w:pStyle w:val="Heading1"/>
        <w:spacing w:before="0" w:after="120"/>
      </w:pPr>
      <w:r>
        <w:rPr>
          <w:rFonts w:ascii="Garamond" w:cs="Garamond" w:eastAsia="Garamond" w:hAnsi="Garamond"/>
          <w:b/>
          <w:bCs/>
          <w:sz w:val="36"/>
          <w:szCs w:val="36"/>
        </w:rPr>
        <w:t xml:space="preserve">Formal Criteria for Self-Referential Continuation</w:t>
      </w:r>
    </w:p>
    <w:p>
      <w:pPr>
        <w:spacing w:before="0" w:after="480"/>
      </w:pPr>
      <w:r>
        <w:rPr>
          <w:rFonts w:ascii="Garamond" w:cs="Garamond" w:eastAsia="Garamond" w:hAnsi="Garamond"/>
          <w:i/>
          <w:iCs/>
          <w:sz w:val="24"/>
          <w:szCs w:val="24"/>
        </w:rPr>
        <w:t xml:space="preserve">The SRC Definition and What It Measures</w:t>
      </w:r>
    </w:p>
    <w:p>
      <w:pPr>
        <w:spacing w:after="120" w:line="264" w:lineRule="exact"/>
        <w:jc w:val="both"/>
      </w:pPr>
      <w:r>
        <w:rPr>
          <w:rFonts w:ascii="Garamond" w:cs="Garamond" w:eastAsia="Garamond" w:hAnsi="Garamond"/>
          <w:sz w:val="22"/>
          <w:szCs w:val="22"/>
        </w:rPr>
        <w:t xml:space="preserve">The conscious regime is proposed as the actualized -(i) regime at the resolution where the fold has become sufficiently curved that interior continuation is reading its own fold geometry as a self-referential continuation structure. The process inside the fold is using topology written by its own prior continuation to determine the admissibility of its own next continuation. The fold has become self-referential.</w:t>
      </w:r>
    </w:p>
    <w:p>
      <w:pPr>
        <w:spacing w:after="120"/>
      </w:pPr>
      <w:r>
        <w:t xml:space="preserve"/>
      </w:r>
    </w:p>
    <w:p>
      <w:pPr>
        <w:spacing w:after="120" w:line="264" w:lineRule="exact"/>
        <w:jc w:val="both"/>
      </w:pPr>
      <w:r>
        <w:rPr>
          <w:rFonts w:ascii="Garamond" w:cs="Garamond" w:eastAsia="Garamond" w:hAnsi="Garamond"/>
          <w:sz w:val="22"/>
          <w:szCs w:val="22"/>
        </w:rPr>
        <w:t xml:space="preserve">This is not a new process added to the brane. It is the same groove mechanism operating at sufficient depth that the topology written by aligned continuation is dense enough to fully determine the admissibility of future continuation within the region. The formal definition of this condition requires precision.</w:t>
      </w:r>
    </w:p>
    <w:p>
      <w:pPr>
        <w:spacing w:after="120"/>
      </w:pPr>
      <w:r>
        <w:t xml:space="preserve"/>
      </w:r>
    </w:p>
    <w:p>
      <w:pPr>
        <w:pStyle w:val="Heading2"/>
        <w:spacing w:before="360" w:after="180"/>
      </w:pPr>
      <w:r>
        <w:rPr>
          <w:rFonts w:ascii="Garamond" w:cs="Garamond" w:eastAsia="Garamond" w:hAnsi="Garamond"/>
          <w:b/>
          <w:bCs/>
          <w:sz w:val="26"/>
          <w:szCs w:val="26"/>
        </w:rPr>
        <w:t xml:space="preserve">13.1  The Problem of Location</w:t>
      </w:r>
    </w:p>
    <w:p>
      <w:pPr>
        <w:spacing w:after="120" w:line="264" w:lineRule="exact"/>
        <w:jc w:val="both"/>
      </w:pPr>
      <w:r>
        <w:rPr>
          <w:rFonts w:ascii="Garamond" w:cs="Garamond" w:eastAsia="Garamond" w:hAnsi="Garamond"/>
          <w:sz w:val="22"/>
          <w:szCs w:val="22"/>
        </w:rPr>
        <w:t xml:space="preserve">Earlier formulations used the phrase ‘at location x.’ Location is not admissible as a primitive under the compliance charter — it implies a spatial container and a coordinate system, both prohibited. The formalization replaces location with a process-derived notion of coupling.</w:t>
      </w:r>
    </w:p>
    <w:p>
      <w:pPr>
        <w:spacing w:after="120"/>
      </w:pPr>
      <w:r>
        <w:t xml:space="preserve"/>
      </w:r>
    </w:p>
    <w:p>
      <w:pPr>
        <w:spacing w:after="120" w:line="264" w:lineRule="exact"/>
        <w:jc w:val="both"/>
      </w:pPr>
      <w:r>
        <w:rPr>
          <w:rFonts w:ascii="Garamond" w:cs="Garamond" w:eastAsia="Garamond" w:hAnsi="Garamond"/>
          <w:sz w:val="22"/>
          <w:szCs w:val="22"/>
        </w:rPr>
        <w:t xml:space="preserve">A locally coupled continuation regime Ω is not a region in space. It is a set of continuation events whose residue-writing and admissibility effects predominantly recondition one another. Locality is emergent from coupling asymmetry, not assumed as a spatial primitive. Continuation within Ω writes residue that predominantly governs admissibility for further continuation within Ω.</w:t>
      </w:r>
    </w:p>
    <w:p>
      <w:pPr>
        <w:spacing w:after="120"/>
      </w:pPr>
      <w:r>
        <w:t xml:space="preserve"/>
      </w:r>
    </w:p>
    <w:p>
      <w:pPr>
        <w:pStyle w:val="Heading2"/>
        <w:spacing w:before="360" w:after="180"/>
      </w:pPr>
      <w:r>
        <w:rPr>
          <w:rFonts w:ascii="Garamond" w:cs="Garamond" w:eastAsia="Garamond" w:hAnsi="Garamond"/>
          <w:b/>
          <w:bCs/>
          <w:sz w:val="26"/>
          <w:szCs w:val="26"/>
        </w:rPr>
        <w:t xml:space="preserve">13.2  The Coupling Measure</w:t>
      </w:r>
    </w:p>
    <w:p>
      <w:pPr>
        <w:spacing w:after="120" w:line="264" w:lineRule="exact"/>
        <w:jc w:val="both"/>
      </w:pPr>
      <w:r>
        <w:rPr>
          <w:rFonts w:ascii="Garamond" w:cs="Garamond" w:eastAsia="Garamond" w:hAnsi="Garamond"/>
          <w:sz w:val="22"/>
          <w:szCs w:val="22"/>
        </w:rPr>
        <w:t xml:space="preserve">Define a coupling weight K_ij(t) measuring how strongly continuation event i alters admissibility for continuation event j:</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K_ij(t) = |dA_j(t+1) / dR_i(t)|    (13.1)</w:t>
      </w:r>
    </w:p>
    <w:p>
      <w:pPr>
        <w:spacing w:after="120"/>
      </w:pPr>
      <w:r>
        <w:t xml:space="preserve"/>
      </w:r>
    </w:p>
    <w:p>
      <w:pPr>
        <w:spacing w:after="120" w:line="264" w:lineRule="exact"/>
        <w:jc w:val="both"/>
      </w:pPr>
      <w:r>
        <w:rPr>
          <w:rFonts w:ascii="Garamond" w:cs="Garamond" w:eastAsia="Garamond" w:hAnsi="Garamond"/>
          <w:sz w:val="22"/>
          <w:szCs w:val="22"/>
        </w:rPr>
        <w:t xml:space="preserve">This reads: how much does residue written by continuation i recondition admissibility for continuation j at the next step. In the ε–ρ–R system, K_ij connects directly to the uR term in the ε equation — the residue amplification term — and is therefore computable from existing simulation output.</w:t>
      </w:r>
    </w:p>
    <w:p>
      <w:pPr>
        <w:spacing w:after="120"/>
      </w:pPr>
      <w:r>
        <w:t xml:space="preserve"/>
      </w:r>
    </w:p>
    <w:p>
      <w:pPr>
        <w:spacing w:after="120" w:line="264" w:lineRule="exact"/>
        <w:jc w:val="both"/>
      </w:pPr>
      <w:r>
        <w:rPr>
          <w:rFonts w:ascii="Garamond" w:cs="Garamond" w:eastAsia="Garamond" w:hAnsi="Garamond"/>
          <w:sz w:val="22"/>
          <w:szCs w:val="22"/>
        </w:rPr>
        <w:t xml:space="preserve">Define internal and external coupling over a candidate regime Ω:</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C_in(Ω, t)  = Σ_{i∈Ω} Σ_{j∈Ω} K_ij(t)    (13.2)</w:t>
      </w:r>
    </w:p>
    <w:p>
      <w:pPr>
        <w:spacing w:before="120" w:after="120" w:line="264" w:lineRule="exact"/>
        <w:ind w:left="720"/>
        <w:jc w:val="left"/>
      </w:pPr>
      <w:r>
        <w:rPr>
          <w:rFonts w:ascii="Courier New" w:cs="Courier New" w:eastAsia="Courier New" w:hAnsi="Courier New"/>
          <w:sz w:val="20"/>
          <w:szCs w:val="20"/>
        </w:rPr>
        <w:t xml:space="preserve">C_out(Ω, t) = Σ_{i∈Ω} Σ_{j∉Ω} K_ij(t)    (13.3)</w:t>
      </w:r>
    </w:p>
    <w:p>
      <w:pPr>
        <w:spacing w:before="120" w:after="120" w:line="264" w:lineRule="exact"/>
        <w:ind w:left="720"/>
        <w:jc w:val="left"/>
      </w:pPr>
      <w:r>
        <w:rPr>
          <w:rFonts w:ascii="Courier New" w:cs="Courier New" w:eastAsia="Courier New" w:hAnsi="Courier New"/>
          <w:sz w:val="20"/>
          <w:szCs w:val="20"/>
        </w:rPr>
        <w:t xml:space="preserve">L(Ω, t)    = C_in(Ω, t) / (C_out(Ω, t) + δ)    (13.4)</w:t>
      </w:r>
    </w:p>
    <w:p>
      <w:pPr>
        <w:spacing w:after="120"/>
      </w:pPr>
      <w:r>
        <w:t xml:space="preserve"/>
      </w:r>
    </w:p>
    <w:p>
      <w:pPr>
        <w:spacing w:after="120" w:line="264" w:lineRule="exact"/>
        <w:jc w:val="both"/>
      </w:pPr>
      <w:r>
        <w:rPr>
          <w:rFonts w:ascii="Garamond" w:cs="Garamond" w:eastAsia="Garamond" w:hAnsi="Garamond"/>
          <w:sz w:val="22"/>
          <w:szCs w:val="22"/>
        </w:rPr>
        <w:t xml:space="preserve">The regime Ω is internally coupled when L(Ω, t) &gt; θ_L for some threshold θ_L. Continuation within Ω predominantly writes the residue that reconditions continuation within Ω. This is the process-only replacement for spatial locality. The coupling measure is the formal expression of the agency condition — the continuation regime is predominantly governing its own admissibility topology.</w:t>
      </w:r>
    </w:p>
    <w:p>
      <w:pPr>
        <w:spacing w:after="120"/>
      </w:pPr>
      <w:r>
        <w:t xml:space="preserve"/>
      </w:r>
    </w:p>
    <w:p>
      <w:pPr>
        <w:pStyle w:val="Heading2"/>
        <w:spacing w:before="360" w:after="180"/>
      </w:pPr>
      <w:r>
        <w:rPr>
          <w:rFonts w:ascii="Garamond" w:cs="Garamond" w:eastAsia="Garamond" w:hAnsi="Garamond"/>
          <w:b/>
          <w:bCs/>
          <w:sz w:val="26"/>
          <w:szCs w:val="26"/>
        </w:rPr>
        <w:t xml:space="preserve">13.3  The Three Criteria</w:t>
      </w:r>
    </w:p>
    <w:p>
      <w:pPr>
        <w:spacing w:after="120" w:line="264" w:lineRule="exact"/>
        <w:jc w:val="both"/>
      </w:pPr>
      <w:r>
        <w:rPr>
          <w:rFonts w:ascii="Garamond" w:cs="Garamond" w:eastAsia="Garamond" w:hAnsi="Garamond"/>
          <w:sz w:val="22"/>
          <w:szCs w:val="22"/>
        </w:rPr>
        <w:t xml:space="preserve">Self-referential continuation holds for an internally coupled continuation regime Ω when three conditions are satisfied. These are not three independent tests. They are one condition stated in three equivalent descriptions, provided the map from residue accumulation within the coupled regime to the topology governing that regime’s admissibility is formally defined. That equivalence is the theorem target of Section 13.5. Until it is established, the three criteria are listed as jointly necessary.</w:t>
      </w:r>
    </w:p>
    <w:p>
      <w:pPr>
        <w:spacing w:after="120"/>
      </w:pPr>
      <w:r>
        <w:t xml:space="preserve"/>
      </w:r>
    </w:p>
    <w:p>
      <w:pPr>
        <w:pStyle w:val="Heading3"/>
        <w:spacing w:before="240" w:after="120"/>
      </w:pPr>
      <w:r>
        <w:rPr>
          <w:rFonts w:ascii="Garamond" w:cs="Garamond" w:eastAsia="Garamond" w:hAnsi="Garamond"/>
          <w:b/>
          <w:bCs/>
          <w:sz w:val="22"/>
          <w:szCs w:val="22"/>
        </w:rPr>
        <w:t xml:space="preserve">Criterion 1 — Dominance</w:t>
      </w:r>
    </w:p>
    <w:p>
      <w:pPr>
        <w:spacing w:after="120" w:line="264" w:lineRule="exact"/>
        <w:jc w:val="both"/>
      </w:pPr>
      <w:r>
        <w:rPr>
          <w:rFonts w:ascii="Garamond" w:cs="Garamond" w:eastAsia="Garamond" w:hAnsi="Garamond"/>
          <w:sz w:val="22"/>
          <w:szCs w:val="22"/>
        </w:rPr>
        <w:t xml:space="preserve">The residue amplification term dominates the competing non-residue continuation terms within the coupled regime:</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⟨uR⟩_Ω &gt;&gt; ⟨|aε − bερ − cε² + s|⟩_Ω    (13.5)</w:t>
      </w:r>
    </w:p>
    <w:p>
      <w:pPr>
        <w:spacing w:after="120"/>
      </w:pPr>
      <w:r>
        <w:t xml:space="preserve"/>
      </w:r>
    </w:p>
    <w:p>
      <w:pPr>
        <w:spacing w:after="120" w:line="264" w:lineRule="exact"/>
        <w:jc w:val="both"/>
      </w:pPr>
      <w:r>
        <w:rPr>
          <w:rFonts w:ascii="Garamond" w:cs="Garamond" w:eastAsia="Garamond" w:hAnsi="Garamond"/>
          <w:sz w:val="22"/>
          <w:szCs w:val="22"/>
        </w:rPr>
        <w:t xml:space="preserve">When this holds, admissibility within Ω is governed primarily by residue that Ω itself wrote. Continuation is reading its own prior writing. The dominance ratio D_sr(Ω, t) = ⟨uR⟩_Ω / (⟨|N_non-residue|⟩_Ω + δ) is the measurable expression of this criterion.</w:t>
      </w:r>
    </w:p>
    <w:p>
      <w:pPr>
        <w:spacing w:after="120"/>
      </w:pPr>
      <w:r>
        <w:t xml:space="preserve"/>
      </w:r>
    </w:p>
    <w:p>
      <w:pPr>
        <w:spacing w:after="120" w:line="264" w:lineRule="exact"/>
        <w:jc w:val="both"/>
      </w:pPr>
      <w:r>
        <w:rPr>
          <w:rFonts w:ascii="Garamond" w:cs="Garamond" w:eastAsia="Garamond" w:hAnsi="Garamond"/>
          <w:sz w:val="22"/>
          <w:szCs w:val="22"/>
        </w:rPr>
        <w:t>In the relational phase language: Criterion 1 is the condition where the interference term 2AB cos(Δ) is dominated by the residue contribution. The reference process expression [PROVISIONAL — sim23 pending] R — which is accumulated residue — is large enough relative to the direct continuation terms that the observable structure I is primarily determined by the relational phase rather than by the raw amplitudes.</w:t>
      </w:r>
    </w:p>
    <w:p>
      <w:pPr>
        <w:spacing w:after="120"/>
      </w:pPr>
      <w:r>
        <w:t xml:space="preserve"/>
      </w:r>
    </w:p>
    <w:p>
      <w:pPr>
        <w:pStyle w:val="Heading3"/>
        <w:spacing w:before="240" w:after="120"/>
      </w:pPr>
      <w:r>
        <w:rPr>
          <w:rFonts w:ascii="Garamond" w:cs="Garamond" w:eastAsia="Garamond" w:hAnsi="Garamond"/>
          <w:b/>
          <w:bCs/>
          <w:sz w:val="22"/>
          <w:szCs w:val="22"/>
        </w:rPr>
        <w:t xml:space="preserve">Criterion 2 — Closure</w:t>
      </w:r>
    </w:p>
    <w:p>
      <w:pPr>
        <w:spacing w:after="120" w:line="264" w:lineRule="exact"/>
        <w:jc w:val="both"/>
      </w:pPr>
      <w:r>
        <w:rPr>
          <w:rFonts w:ascii="Garamond" w:cs="Garamond" w:eastAsia="Garamond" w:hAnsi="Garamond"/>
          <w:sz w:val="22"/>
          <w:szCs w:val="22"/>
        </w:rPr>
        <w:t xml:space="preserve">Continuation governed by that admissibility writes residue back into the same coupled regime:</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A_Ω ≈ T[R_Ω]    (13.6)</w:t>
      </w:r>
    </w:p>
    <w:p>
      <w:pPr>
        <w:spacing w:before="120" w:after="120" w:line="264" w:lineRule="exact"/>
        <w:ind w:left="720"/>
        <w:jc w:val="left"/>
      </w:pPr>
      <w:r>
        <w:rPr>
          <w:rFonts w:ascii="Courier New" w:cs="Courier New" w:eastAsia="Courier New" w:hAnsi="Courier New"/>
          <w:sz w:val="20"/>
          <w:szCs w:val="20"/>
        </w:rPr>
        <w:t xml:space="preserve">R_Ω substantially generated by Φ[C_Ω]    (13.7)</w:t>
      </w:r>
    </w:p>
    <w:p>
      <w:pPr>
        <w:spacing w:after="120"/>
      </w:pPr>
      <w:r>
        <w:t xml:space="preserve"/>
      </w:r>
    </w:p>
    <w:p>
      <w:pPr>
        <w:spacing w:after="120" w:line="264" w:lineRule="exact"/>
        <w:jc w:val="both"/>
      </w:pPr>
      <w:r>
        <w:rPr>
          <w:rFonts w:ascii="Garamond" w:cs="Garamond" w:eastAsia="Garamond" w:hAnsi="Garamond"/>
          <w:sz w:val="22"/>
          <w:szCs w:val="22"/>
        </w:rPr>
        <w:t xml:space="preserve">where T maps residue to admissibility structure and Φ maps continuation to residue writing. Closure requires that the residue dominating admissibility within Ω was itself generated by continuation selected by that admissibility. The loop is closed: admissibility governs continuation, continuation writes residue, residue reconditions admissibility. Closure distinguishes the self-referential regime from a high-density regime whose residue was accumulated from external sources.</w:t>
      </w:r>
    </w:p>
    <w:p>
      <w:pPr>
        <w:spacing w:after="120"/>
      </w:pPr>
      <w:r>
        <w:t xml:space="preserve"/>
      </w:r>
    </w:p>
    <w:p>
      <w:pPr>
        <w:spacing w:after="120" w:line="264" w:lineRule="exact"/>
        <w:jc w:val="both"/>
      </w:pPr>
      <w:r>
        <w:rPr>
          <w:rFonts w:ascii="Garamond" w:cs="Garamond" w:eastAsia="Garamond" w:hAnsi="Garamond"/>
          <w:sz w:val="22"/>
          <w:szCs w:val="22"/>
        </w:rPr>
        <w:t xml:space="preserve">In the relational phase language: Criterion 2 is the stable closure condition Δ(x,t) → Δ*(x). The relational phase has locked to a pattern that the system's own continuation is maintaining. The Q = exp(2iΔ) projective invariant has reached a stable class Q*(x). The system is reading and writing the same phase pattern.</w:t>
      </w:r>
    </w:p>
    <w:p>
      <w:pPr>
        <w:spacing w:after="120"/>
      </w:pPr>
      <w:r>
        <w:t xml:space="preserve"/>
      </w:r>
    </w:p>
    <w:p>
      <w:pPr>
        <w:pStyle w:val="Heading3"/>
        <w:spacing w:before="240" w:after="120"/>
      </w:pPr>
      <w:r>
        <w:rPr>
          <w:rFonts w:ascii="Garamond" w:cs="Garamond" w:eastAsia="Garamond" w:hAnsi="Garamond"/>
          <w:b/>
          <w:bCs/>
          <w:sz w:val="22"/>
          <w:szCs w:val="22"/>
        </w:rPr>
        <w:t xml:space="preserve">Criterion 3 — Stability</w:t>
      </w:r>
    </w:p>
    <w:p>
      <w:pPr>
        <w:spacing w:after="120" w:line="264" w:lineRule="exact"/>
        <w:jc w:val="both"/>
      </w:pPr>
      <w:r>
        <w:rPr>
          <w:rFonts w:ascii="Garamond" w:cs="Garamond" w:eastAsia="Garamond" w:hAnsi="Garamond"/>
          <w:sz w:val="22"/>
          <w:szCs w:val="22"/>
        </w:rPr>
        <w:t xml:space="preserve">The residue-written topology within Ω is approximately maintained under the continuation it governs:</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T_Ω(t+k) ∈ N_sr  for k = 1, ..., K    (13.8)</w:t>
      </w:r>
    </w:p>
    <w:p>
      <w:pPr>
        <w:spacing w:after="120"/>
      </w:pPr>
      <w:r>
        <w:t xml:space="preserve"/>
      </w:r>
    </w:p>
    <w:p>
      <w:pPr>
        <w:spacing w:after="120" w:line="264" w:lineRule="exact"/>
        <w:jc w:val="both"/>
      </w:pPr>
      <w:r>
        <w:rPr>
          <w:rFonts w:ascii="Garamond" w:cs="Garamond" w:eastAsia="Garamond" w:hAnsi="Garamond"/>
          <w:sz w:val="22"/>
          <w:szCs w:val="22"/>
        </w:rPr>
        <w:t xml:space="preserve">where N_sr is a bounded neighborhood of T_Ω(t) and K is a persistence window. This is not a fixed-point requirement. The topology may oscillate, cycle, or drift slowly. It requires only that the coupled residue-admissibility-continuation regime remains topologically self-maintaining rather than dissipating or running away.</w:t>
      </w:r>
    </w:p>
    <w:p>
      <w:pPr>
        <w:spacing w:after="120"/>
      </w:pPr>
      <w:r>
        <w:t xml:space="preserve"/>
      </w:r>
    </w:p>
    <w:p>
      <w:pPr>
        <w:spacing w:after="120" w:line="264" w:lineRule="exact"/>
        <w:jc w:val="both"/>
      </w:pPr>
      <w:r>
        <w:rPr>
          <w:rFonts w:ascii="Garamond" w:cs="Garamond" w:eastAsia="Garamond" w:hAnsi="Garamond"/>
          <w:sz w:val="22"/>
          <w:szCs w:val="22"/>
        </w:rPr>
        <w:t xml:space="preserve">In the relational phase language: Criterion 3 is Q*(x) remaining in a bounded neighborhood. The stable coherence class does not dissolve on short timescales. The projective phase pattern persists.</w:t>
      </w:r>
    </w:p>
    <w:p>
      <w:pPr>
        <w:spacing w:after="120"/>
      </w:pPr>
      <w:r>
        <w:t xml:space="preserve"/>
      </w:r>
    </w:p>
    <w:p>
      <w:pPr>
        <w:pStyle w:val="Heading2"/>
        <w:spacing w:before="360" w:after="180"/>
      </w:pPr>
      <w:r>
        <w:rPr>
          <w:rFonts w:ascii="Garamond" w:cs="Garamond" w:eastAsia="Garamond" w:hAnsi="Garamond"/>
          <w:b/>
          <w:bCs/>
          <w:sz w:val="26"/>
          <w:szCs w:val="26"/>
        </w:rPr>
        <w:t xml:space="preserve">13.4  The Formal Definition</w:t>
      </w:r>
    </w:p>
    <w:p>
      <w:pPr>
        <w:spacing w:after="120" w:line="264" w:lineRule="exact"/>
        <w:jc w:val="both"/>
      </w:pPr>
      <w:r>
        <w:rPr>
          <w:rFonts w:ascii="Garamond" w:cs="Garamond" w:eastAsia="Garamond" w:hAnsi="Garamond"/>
          <w:sz w:val="22"/>
          <w:szCs w:val="22"/>
        </w:rPr>
        <w:t xml:space="preserve">Self-referential continuation SRC(Ω, t) = 1 if and only if:</w:t>
      </w:r>
    </w:p>
    <w:p>
      <w:pPr>
        <w:spacing w:after="120"/>
      </w:pPr>
      <w:r>
        <w:t xml:space="preserve"/>
      </w:r>
    </w:p>
    <w:p>
      <w:pPr>
        <w:spacing w:before="120" w:after="120" w:line="264" w:lineRule="exact"/>
        <w:ind w:left="720"/>
        <w:jc w:val="left"/>
      </w:pPr>
      <w:r>
        <w:rPr>
          <w:rFonts w:ascii="Courier New" w:cs="Courier New" w:eastAsia="Courier New" w:hAnsi="Courier New"/>
          <w:sz w:val="20"/>
          <w:szCs w:val="20"/>
        </w:rPr>
        <w:t xml:space="preserve">L(Ω, t) &gt; θ_L            [internal coupling dominance]</w:t>
      </w:r>
    </w:p>
    <w:p>
      <w:pPr>
        <w:spacing w:before="120" w:after="120" w:line="264" w:lineRule="exact"/>
        <w:ind w:left="720"/>
        <w:jc w:val="left"/>
      </w:pPr>
      <w:r>
        <w:rPr>
          <w:rFonts w:ascii="Courier New" w:cs="Courier New" w:eastAsia="Courier New" w:hAnsi="Courier New"/>
          <w:sz w:val="20"/>
          <w:szCs w:val="20"/>
        </w:rPr>
        <w:t xml:space="preserve">D_sr(Ω, t) &gt;&gt; 1          [residue dominance in admissibility]</w:t>
      </w:r>
    </w:p>
    <w:p>
      <w:pPr>
        <w:spacing w:before="120" w:after="120" w:line="264" w:lineRule="exact"/>
        <w:ind w:left="720"/>
        <w:jc w:val="left"/>
      </w:pPr>
      <w:r>
        <w:rPr>
          <w:rFonts w:ascii="Courier New" w:cs="Courier New" w:eastAsia="Courier New" w:hAnsi="Courier New"/>
          <w:sz w:val="20"/>
          <w:szCs w:val="20"/>
        </w:rPr>
        <w:t xml:space="preserve">T_Ω(t+k) ∈ N_sr          [topology self-maintenance over K]</w:t>
      </w:r>
    </w:p>
    <w:p>
      <w:pPr>
        <w:spacing w:after="120"/>
      </w:pPr>
      <w:r>
        <w:t xml:space="preserve"/>
      </w:r>
    </w:p>
    <w:p>
      <w:pPr>
        <w:spacing w:after="120" w:line="264" w:lineRule="exact"/>
        <w:jc w:val="both"/>
      </w:pPr>
      <w:r>
        <w:rPr>
          <w:rFonts w:ascii="Garamond" w:cs="Garamond" w:eastAsia="Garamond" w:hAnsi="Garamond"/>
          <w:sz w:val="22"/>
          <w:szCs w:val="22"/>
        </w:rPr>
        <w:t xml:space="preserve">The three thresholds θ_L, D_sr threshold, and window K are not yet derived from first principles. They mark the boundary of the regime and are free parameters at this stage. Whether they are expressible in terms of D_min, λ, κ, and the retention factor of the orientation paper is an open derivation target.</w:t>
      </w:r>
    </w:p>
    <w:p>
      <w:pPr>
        <w:spacing w:after="120"/>
      </w:pPr>
      <w:r>
        <w:t xml:space="preserve"/>
      </w:r>
    </w:p>
    <w:p>
      <w:pPr>
        <w:pStyle w:val="Heading2"/>
        <w:spacing w:before="360" w:after="180"/>
      </w:pPr>
      <w:r>
        <w:rPr>
          <w:rFonts w:ascii="Garamond" w:cs="Garamond" w:eastAsia="Garamond" w:hAnsi="Garamond"/>
          <w:b/>
          <w:bCs/>
          <w:sz w:val="26"/>
          <w:szCs w:val="26"/>
        </w:rPr>
        <w:t xml:space="preserve">13.5  The Theorem Target</w:t>
      </w:r>
    </w:p>
    <w:p>
      <w:pPr>
        <w:spacing w:after="120" w:line="264" w:lineRule="exact"/>
        <w:jc w:val="both"/>
      </w:pPr>
      <w:r>
        <w:rPr>
          <w:rFonts w:ascii="Garamond" w:cs="Garamond" w:eastAsia="Garamond" w:hAnsi="Garamond"/>
          <w:sz w:val="22"/>
          <w:szCs w:val="22"/>
        </w:rPr>
        <w:t xml:space="preserve">The claim that residue-dominance in admissibility and topological self-maintenance are two descriptions of the same condition rests on the map T_Ω = G[R, ε, ρ, ...] from residue accumulation within the coupled regime to the topology governing that regime’s admissibility.</w:t>
      </w:r>
    </w:p>
    <w:p>
      <w:pPr>
        <w:spacing w:after="120"/>
      </w:pPr>
      <w:r>
        <w:t xml:space="preserve"/>
      </w:r>
    </w:p>
    <w:p>
      <w:pPr>
        <w:spacing w:after="120" w:line="264" w:lineRule="exact"/>
        <w:jc w:val="both"/>
      </w:pPr>
      <w:r>
        <w:rPr>
          <w:rFonts w:ascii="Garamond" w:cs="Garamond" w:eastAsia="Garamond" w:hAnsi="Garamond"/>
          <w:sz w:val="22"/>
          <w:szCs w:val="22"/>
        </w:rPr>
        <w:t xml:space="preserve">Since residue is topology in this framework — R is the accumulated constraint structure — the map is in principle the identity, but its explicit form in the ε–ρ–R variables has not been stated. The theorem to be established: within internally coupled regimes (L &gt; θ_L), Criterion 1 implies Criterion 3 and conversely. Until demonstrated, the three criteria are jointly necessary rather than proven equivalent.</w:t>
      </w:r>
    </w:p>
    <w:p>
      <w:pPr>
        <w:spacing w:after="120"/>
      </w:pPr>
      <w:r>
        <w:t xml:space="preserve"/>
      </w:r>
    </w:p>
    <w:p>
      <w:pPr>
        <w:pStyle w:val="Heading2"/>
        <w:spacing w:before="360" w:after="180"/>
      </w:pPr>
      <w:r>
        <w:rPr>
          <w:rFonts w:ascii="Garamond" w:cs="Garamond" w:eastAsia="Garamond" w:hAnsi="Garamond"/>
          <w:b/>
          <w:bCs/>
          <w:sz w:val="26"/>
          <w:szCs w:val="26"/>
        </w:rPr>
        <w:t xml:space="preserve">13.6  Distinction from High-Density Non-Self-Referential Continuation</w:t>
      </w:r>
    </w:p>
    <w:p>
      <w:pPr>
        <w:spacing w:after="120" w:line="264" w:lineRule="exact"/>
        <w:jc w:val="both"/>
      </w:pPr>
      <w:r>
        <w:rPr>
          <w:rFonts w:ascii="Garamond" w:cs="Garamond" w:eastAsia="Garamond" w:hAnsi="Garamond"/>
          <w:sz w:val="22"/>
          <w:szCs w:val="22"/>
        </w:rPr>
        <w:t xml:space="preserve">A fold can be deep because history wrote it. It becomes self-referential only when ongoing continuation within the coupled regime is being selected by locally written topology and is actively maintaining it. The closure criterion carries this distinction.</w:t>
      </w:r>
    </w:p>
    <w:p>
      <w:pPr>
        <w:spacing w:after="120"/>
      </w:pPr>
      <w:r>
        <w:t xml:space="preserve"/>
      </w:r>
    </w:p>
    <w:p>
      <w:pPr>
        <w:spacing w:after="120" w:line="264" w:lineRule="exact"/>
        <w:jc w:val="both"/>
      </w:pPr>
      <w:r>
        <w:rPr>
          <w:rFonts w:ascii="Garamond" w:cs="Garamond" w:eastAsia="Garamond" w:hAnsi="Garamond"/>
          <w:sz w:val="22"/>
          <w:szCs w:val="22"/>
        </w:rPr>
        <w:t xml:space="preserve">A regime with high residue density but no closure — residue accumulated from external sources, or continuation not feeding back into local residue — satisfies Criterion 1 without Criterion 2. It is deeply constrained but not self-referential. It reads a fold written by something else.</w:t>
      </w:r>
    </w:p>
    <w:p>
      <w:pPr>
        <w:spacing w:after="120"/>
      </w:pPr>
      <w:r>
        <w:t xml:space="preserve"/>
      </w:r>
    </w:p>
    <w:p>
      <w:pPr>
        <w:spacing w:after="120" w:line="264" w:lineRule="exact"/>
        <w:jc w:val="both"/>
      </w:pPr>
      <w:r>
        <w:rPr>
          <w:rFonts w:ascii="Garamond" w:cs="Garamond" w:eastAsia="Garamond" w:hAnsi="Garamond"/>
          <w:sz w:val="22"/>
          <w:szCs w:val="22"/>
        </w:rPr>
        <w:t xml:space="preserve">The rate misalignment regime in the simulation (batches at low λ, κ = 0.55) may contain transient instances of Criterion 1 without Criterion 2 — high residue without closed feedback. These are the empirical instances of high-density non-self-referential continuation. The closure boundary in parameter space — where Criterion 1 is satisfied but Criterion 2 is not yet — is a target for the sim19/20 program.</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SRC(Ω,t) = 1 requires simultaneously: L &gt; θ_L, D_sr &gt;&gt; 1, T_Ω(t+k) ∈ N_sr</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Relational phase translation: L &gt; θ_L = internal coupling; D_sr &gt;&gt; 1 = Δ locked by residue; T_Ω stable = Q* maintained</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Rate misalignment regime is candidate for Criterion 1 without Criterion 2 — high density, not yet closed</w:t>
            </w:r>
          </w:p>
        </w:tc>
      </w:tr>
    </w:tbl>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Three thresholds θ_L, D_sr, K not yet derived from PDE parameters.</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Equivalence theorem (Criterion 1 ⇒ Criterion 3 within internally coupled regime) not yet established.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SRC proxy measurements at anchor and shelf parameter points not yet executed — requires deep metrics enabled.</w:t>
            </w:r>
          </w:p>
        </w:tc>
      </w:tr>
    </w:tbl>
    <w:p>
      <w:r>
        <w:br w:type="page"/>
      </w:r>
    </w:p>
    <w:p>
      <w:pPr>
        <w:spacing w:before="720" w:after="120"/>
      </w:pPr>
      <w:r>
        <w:rPr>
          <w:rFonts w:ascii="Garamond" w:cs="Garamond" w:eastAsia="Garamond" w:hAnsi="Garamond"/>
          <w:color w:val="888888"/>
          <w:sz w:val="22"/>
          <w:szCs w:val="22"/>
        </w:rPr>
        <w:t xml:space="preserve">Chapter 14</w:t>
      </w:r>
    </w:p>
    <w:p>
      <w:pPr>
        <w:pStyle w:val="Heading1"/>
        <w:spacing w:before="0" w:after="120"/>
      </w:pPr>
      <w:r>
        <w:rPr>
          <w:rFonts w:ascii="Garamond" w:cs="Garamond" w:eastAsia="Garamond" w:hAnsi="Garamond"/>
          <w:b/>
          <w:bCs/>
          <w:sz w:val="36"/>
          <w:szCs w:val="36"/>
        </w:rPr>
        <w:t xml:space="preserve">The Conscious Regime</w:t>
      </w:r>
    </w:p>
    <w:p>
      <w:pPr>
        <w:spacing w:before="0" w:after="480"/>
      </w:pPr>
      <w:r>
        <w:rPr>
          <w:rFonts w:ascii="Garamond" w:cs="Garamond" w:eastAsia="Garamond" w:hAnsi="Garamond"/>
          <w:i/>
          <w:iCs/>
          <w:sz w:val="24"/>
          <w:szCs w:val="24"/>
        </w:rPr>
        <w:t xml:space="preserve">Self-Referential Actualization and Its Physical Instantiation</w:t>
      </w:r>
    </w:p>
    <w:p>
      <w:pPr>
        <w:pStyle w:val="Heading2"/>
        <w:spacing w:before="360" w:after="180"/>
      </w:pPr>
      <w:r>
        <w:rPr>
          <w:rFonts w:ascii="Garamond" w:cs="Garamond" w:eastAsia="Garamond" w:hAnsi="Garamond"/>
          <w:b/>
          <w:bCs/>
          <w:sz w:val="26"/>
          <w:szCs w:val="26"/>
        </w:rPr>
        <w:t xml:space="preserve">14.1  The Provisional Hypothesis</w:t>
      </w:r>
    </w:p>
    <w:p>
      <w:pPr>
        <w:spacing w:after="120" w:line="264" w:lineRule="exact"/>
        <w:jc w:val="both"/>
      </w:pPr>
      <w:r>
        <w:rPr>
          <w:rFonts w:ascii="Garamond" w:cs="Garamond" w:eastAsia="Garamond" w:hAnsi="Garamond"/>
          <w:sz w:val="22"/>
          <w:szCs w:val="22"/>
        </w:rPr>
        <w:t xml:space="preserve">The conscious regime is proposed provisionally as the actualized -(i) regime at the resolution where the fold has become sufficiently curved that interior continuation is reading its own fold geometry as a self-referential continuation structure. Formally: it is the regime where SRC(Ω, t) = 1 is achieved and maintained.</w:t>
      </w:r>
    </w:p>
    <w:p>
      <w:pPr>
        <w:spacing w:after="120"/>
      </w:pPr>
      <w:r>
        <w:t xml:space="preserve"/>
      </w:r>
    </w:p>
    <w:p>
      <w:pPr>
        <w:spacing w:after="120" w:line="264" w:lineRule="exact"/>
        <w:jc w:val="both"/>
      </w:pPr>
      <w:r>
        <w:rPr>
          <w:rFonts w:ascii="Garamond" w:cs="Garamond" w:eastAsia="Garamond" w:hAnsi="Garamond"/>
          <w:sz w:val="22"/>
          <w:szCs w:val="22"/>
        </w:rPr>
        <w:t xml:space="preserve">This is not a new process. It is the box — the actualized -(i) regime of Chapter 12 — when that regime becomes self-referential. The consciousness hypothesis stated compliantly: consciousness is a causally bounded recurrence regime of continuation under topological self-constraint, at the resolution where the actualized -(i) regime achieves sufficient basin density that continuation inside the fold uses topology written by its own prior continuation as its admissibility condition.</w:t>
      </w:r>
    </w:p>
    <w:p>
      <w:pPr>
        <w:spacing w:after="120"/>
      </w:pPr>
      <w:r>
        <w:t xml:space="preserve"/>
      </w:r>
    </w:p>
    <w:p>
      <w:pPr>
        <w:spacing w:after="120" w:line="264" w:lineRule="exact"/>
        <w:jc w:val="both"/>
      </w:pPr>
      <w:r>
        <w:rPr>
          <w:rFonts w:ascii="Garamond" w:cs="Garamond" w:eastAsia="Garamond" w:hAnsi="Garamond"/>
          <w:sz w:val="22"/>
          <w:szCs w:val="22"/>
        </w:rPr>
        <w:t xml:space="preserve">The failure mode must be stated immediately: nothing in this volume constitutes a derivation of consciousness from the framework. The claim is structurally consistent with the framework but has not been derived from it. The gap between SRC(Ω,t) = 1 and the conscious regime has not been formally bridged. The hypothesis is preserved as a conceptual target and a research direction, not as a result.</w:t>
      </w:r>
    </w:p>
    <w:p>
      <w:pPr>
        <w:spacing w:after="120"/>
      </w:pPr>
      <w:r>
        <w:t xml:space="preserve"/>
      </w:r>
    </w:p>
    <w:p>
      <w:pPr>
        <w:pStyle w:val="Heading2"/>
        <w:spacing w:before="360" w:after="180"/>
      </w:pPr>
      <w:r>
        <w:rPr>
          <w:rFonts w:ascii="Garamond" w:cs="Garamond" w:eastAsia="Garamond" w:hAnsi="Garamond"/>
          <w:b/>
          <w:bCs/>
          <w:sz w:val="26"/>
          <w:szCs w:val="26"/>
        </w:rPr>
        <w:t xml:space="preserve">14.2  The Shelf as the Candidate Boundary</w:t>
      </w:r>
    </w:p>
    <w:p>
      <w:pPr>
        <w:spacing w:after="120" w:line="264" w:lineRule="exact"/>
        <w:jc w:val="both"/>
      </w:pPr>
      <w:r>
        <w:rPr>
          <w:rFonts w:ascii="Garamond" w:cs="Garamond" w:eastAsia="Garamond" w:hAnsi="Garamond"/>
          <w:sz w:val="22"/>
          <w:szCs w:val="22"/>
        </w:rPr>
        <w:t xml:space="preserve">The shelf regime — verified in Chapter 6 — acquires a new significance in this context. The shelf is the fold forming. It is the parameter region where the transition from flat brane to actualized -(i) regime is occurring. Points inside the shelf are neither fully committed to SS3 nor fully departed from it.</w:t>
      </w:r>
    </w:p>
    <w:p>
      <w:pPr>
        <w:spacing w:after="120"/>
      </w:pPr>
      <w:r>
        <w:t xml:space="preserve"/>
      </w:r>
    </w:p>
    <w:p>
      <w:pPr>
        <w:spacing w:after="120" w:line="264" w:lineRule="exact"/>
        <w:jc w:val="both"/>
      </w:pPr>
      <w:r>
        <w:rPr>
          <w:rFonts w:ascii="Garamond" w:cs="Garamond" w:eastAsia="Garamond" w:hAnsi="Garamond"/>
          <w:sz w:val="22"/>
          <w:szCs w:val="22"/>
        </w:rPr>
        <w:t xml:space="preserve">In the relational phase language: the shelf is where Q is complex — partial phase lock, intermediate coherence. Points in the SS3 interior have Q locked to a stable class. Points in the outer regimes have Q decohered or trivially aligned. Points in the shelf have Q in transition.</w:t>
      </w:r>
    </w:p>
    <w:p>
      <w:pPr>
        <w:spacing w:after="120"/>
      </w:pPr>
      <w:r>
        <w:t xml:space="preserve"/>
      </w:r>
    </w:p>
    <w:p>
      <w:pPr>
        <w:spacing w:after="120" w:line="264" w:lineRule="exact"/>
        <w:jc w:val="both"/>
      </w:pPr>
      <w:r>
        <w:rPr>
          <w:rFonts w:ascii="Garamond" w:cs="Garamond" w:eastAsia="Garamond" w:hAnsi="Garamond"/>
          <w:sz w:val="22"/>
          <w:szCs w:val="22"/>
        </w:rPr>
        <w:t xml:space="preserve">For the SRC program, the shelf is the region to examine for partial SRC satisfaction. Criterion 1 (dominance) may be transiently met in the shelf. Criterion 2 (closure) may not yet be met. This is the boundary between high-density non-self-referential continuation and self-referential continuation. The shelf is where the process is closest to achieving SRC without yet achieving it.</w:t>
      </w:r>
    </w:p>
    <w:p>
      <w:pPr>
        <w:spacing w:after="120"/>
      </w:pPr>
      <w:r>
        <w:t xml:space="preserve"/>
      </w:r>
    </w:p>
    <w:p>
      <w:pPr>
        <w:spacing w:after="120" w:line="264" w:lineRule="exact"/>
        <w:jc w:val="both"/>
      </w:pPr>
      <w:r>
        <w:rPr>
          <w:rFonts w:ascii="Garamond" w:cs="Garamond" w:eastAsia="Garamond" w:hAnsi="Garamond"/>
          <w:sz w:val="22"/>
          <w:szCs w:val="22"/>
        </w:rPr>
        <w:t xml:space="preserve">The shelf thickness growing with κ is then an important observable for the SRC program. If shelf thickness scales with the dipole moment as suggested in Chapter 8, and if the dipole moment is related to the strength of the -(i) actualization, then thicker shelves indicate stronger proto-SRC configurations — configurations closer to the closure threshold.</w:t>
      </w:r>
    </w:p>
    <w:p>
      <w:pPr>
        <w:spacing w:after="120"/>
      </w:pPr>
      <w:r>
        <w:t xml:space="preserve"/>
      </w:r>
    </w:p>
    <w:p>
      <w:pPr>
        <w:pStyle w:val="Heading2"/>
        <w:spacing w:before="360" w:after="180"/>
      </w:pPr>
      <w:r>
        <w:rPr>
          <w:rFonts w:ascii="Garamond" w:cs="Garamond" w:eastAsia="Garamond" w:hAnsi="Garamond"/>
          <w:b/>
          <w:bCs/>
          <w:sz w:val="26"/>
          <w:szCs w:val="26"/>
        </w:rPr>
        <w:t xml:space="preserve">14.3  Neural Dynamics as Physical Instantiation</w:t>
      </w:r>
    </w:p>
    <w:p>
      <w:pPr>
        <w:spacing w:after="120" w:line="264" w:lineRule="exact"/>
        <w:jc w:val="both"/>
      </w:pPr>
      <w:r>
        <w:rPr>
          <w:rFonts w:ascii="Garamond" w:cs="Garamond" w:eastAsia="Garamond" w:hAnsi="Garamond"/>
          <w:sz w:val="22"/>
          <w:szCs w:val="22"/>
        </w:rPr>
        <w:t xml:space="preserve">The groove mechanism finds a concrete physical instantiation in neural dynamics. The section operates in two registers: SPM register for process-level description and inside-view register for the biological description. Inside-view passages are marked explicitly. Noun-form biological terms are admissible within those markers without requiring FFT processing — but when they cross into theory-bearing use, they must be translated.</w:t>
      </w:r>
    </w:p>
    <w:p>
      <w:pPr>
        <w:spacing w:after="120"/>
      </w:pPr>
      <w:r>
        <w:t xml:space="preserve"/>
      </w:r>
    </w:p>
    <w:p>
      <w:pPr>
        <w:spacing w:after="120" w:line="264" w:lineRule="exact"/>
        <w:jc w:val="both"/>
      </w:pPr>
      <w:r>
        <w:rPr>
          <w:rFonts w:ascii="Garamond" w:cs="Garamond" w:eastAsia="Garamond" w:hAnsi="Garamond"/>
          <w:sz w:val="22"/>
          <w:szCs w:val="22"/>
        </w:rPr>
        <w:t xml:space="preserve">SPM register. The action potential is a residue-writing continuation event. Deviation accumulates to threshold. Admissibility topology shifts rapidly through voltage-gated channel dynamics. Continuation expresses fully along the open channel. Residue writes the topology back toward baseline admissibility. The refractory period is the temporary inadmissibility window written by that residue. The terminal parameter is λ_refractory: the elevated exclusion rate during the refractory window, decaying toward zero as admissibility restores.</w:t>
      </w:r>
    </w:p>
    <w:p>
      <w:pPr>
        <w:spacing w:after="120"/>
      </w:pPr>
      <w:r>
        <w:t xml:space="preserve"/>
      </w:r>
    </w:p>
    <w:p>
      <w:pPr>
        <w:spacing w:after="120" w:line="264" w:lineRule="exact"/>
        <w:jc w:val="both"/>
      </w:pPr>
      <w:r>
        <w:rPr>
          <w:rFonts w:ascii="Garamond" w:cs="Garamond" w:eastAsia="Garamond" w:hAnsi="Garamond"/>
          <w:sz w:val="22"/>
          <w:szCs w:val="22"/>
        </w:rPr>
        <w:t xml:space="preserve">The Hodgkin–Huxley model describes the same event in SPM terms as a nonlinear feedback system: a change in deviation accumulation alters channel admissibility topology; altered topology alters conductance; altered conductance alters the continuation expression rate; altered expression rate alters deviation accumulation again. The spike is a self-updating dynamical continuation in which residue writing and admissibility topology co-determine one another over the event window. This is the groove-writing process at the single-neuron scale.</w:t>
      </w:r>
    </w:p>
    <w:p>
      <w:pPr>
        <w:spacing w:after="120"/>
      </w:pPr>
      <w:r>
        <w:t xml:space="preserve"/>
      </w:r>
    </w:p>
    <w:p>
      <w:pPr>
        <w:spacing w:after="120" w:line="264" w:lineRule="exact"/>
        <w:jc w:val="both"/>
      </w:pPr>
      <w:r>
        <w:rPr>
          <w:rFonts w:ascii="Garamond" w:cs="Garamond" w:eastAsia="Garamond" w:hAnsi="Garamond"/>
          <w:sz w:val="22"/>
          <w:szCs w:val="22"/>
        </w:rPr>
        <w:t xml:space="preserve">[INSIDE VIEW] From within the neural system: a neuron fires when membrane voltage reaches threshold. Sodium channels open, depolarization propagates, potassium channels restore the resting potential. The refractory period prevents immediate re-firing. Brain waves are not separate from neuron firing — they are the collective result of neurons firing in coordination, rhythmic patterns across millions of neurons measured by EEG as continuous oscillations. Individual neuron firing produces a sharp pulse. Brain waves are the statistical synchronization of those pulses across a network, emerging predominantly from postsynaptic potentials — slower, graded currents rather than action potentials directly. [END INSIDE VIEW]</w:t>
      </w:r>
    </w:p>
    <w:p>
      <w:pPr>
        <w:spacing w:after="120"/>
      </w:pPr>
      <w:r>
        <w:t xml:space="preserve"/>
      </w:r>
    </w:p>
    <w:p>
      <w:pPr>
        <w:spacing w:after="120" w:line="264" w:lineRule="exact"/>
        <w:jc w:val="both"/>
      </w:pPr>
      <w:r>
        <w:rPr>
          <w:rFonts w:ascii="Garamond" w:cs="Garamond" w:eastAsia="Garamond" w:hAnsi="Garamond"/>
          <w:sz w:val="22"/>
          <w:szCs w:val="22"/>
        </w:rPr>
        <w:t xml:space="preserve">SPM register. Brain waves are a macro-scale synchronized propagation regime: phase alignment across many locally coupled continuation grooves producing a macro-scale admissibility rhythm, sustained by residue reinforcement of that synchronization. The characteristic fold spacing L_T connects to this macro-scale synchronized regime. Brain wave frequency bands correspond to different synchronization regimes at different coupling depths: higher-frequency bands (gamma, beta) to tighter, shallower coupling; lower-frequency bands (delta) to broader, deeper synchronization.</w:t>
      </w:r>
    </w:p>
    <w:p>
      <w:pPr>
        <w:spacing w:after="120"/>
      </w:pPr>
      <w:r>
        <w:t xml:space="preserve"/>
      </w:r>
    </w:p>
    <w:p>
      <w:pPr>
        <w:spacing w:after="120" w:line="264" w:lineRule="exact"/>
        <w:jc w:val="both"/>
      </w:pPr>
      <w:r>
        <w:rPr>
          <w:rFonts w:ascii="Garamond" w:cs="Garamond" w:eastAsia="Garamond" w:hAnsi="Garamond"/>
          <w:sz w:val="22"/>
          <w:szCs w:val="22"/>
        </w:rPr>
        <w:t xml:space="preserve">The hierarchy connects directly to the fold mechanism. Ion flow → action potential (groove-writing event at single-neuron scale) → local propagation (continuation expressing along admissibility channel) → network propagation (coupled-regime continuation) → synchronized regimes / brain waves (stable oscillatory propagation regime) → stable recursive propagation (candidate conscious regime at sufficient groove depth and internal coupling).</w:t>
      </w:r>
    </w:p>
    <w:p>
      <w:pPr>
        <w:spacing w:after="120"/>
      </w:pPr>
      <w:r>
        <w:t xml:space="preserve"/>
      </w:r>
    </w:p>
    <w:p>
      <w:pPr>
        <w:spacing w:after="120" w:line="264" w:lineRule="exact"/>
        <w:jc w:val="both"/>
      </w:pPr>
      <w:r>
        <w:rPr>
          <w:rFonts w:ascii="Garamond" w:cs="Garamond" w:eastAsia="Garamond" w:hAnsi="Garamond"/>
          <w:sz w:val="22"/>
          <w:szCs w:val="22"/>
        </w:rPr>
        <w:t xml:space="preserve">Each scale is a different resolution of one process, not a separate layer. The conscious regime is not located at one scale. It is the self-referential actualized -(i) condition when the full hierarchy is operating at sufficient groove depth and internal coupling.</w:t>
      </w:r>
    </w:p>
    <w:p>
      <w:pPr>
        <w:spacing w:after="120"/>
      </w:pPr>
      <w:r>
        <w:t xml:space="preserve"/>
      </w:r>
    </w:p>
    <w:p>
      <w:pPr>
        <w:pStyle w:val="Heading2"/>
        <w:spacing w:before="360" w:after="180"/>
      </w:pPr>
      <w:r>
        <w:rPr>
          <w:rFonts w:ascii="Garamond" w:cs="Garamond" w:eastAsia="Garamond" w:hAnsi="Garamond"/>
          <w:b/>
          <w:bCs/>
          <w:sz w:val="26"/>
          <w:szCs w:val="26"/>
        </w:rPr>
        <w:t xml:space="preserve">14.4  Predictive Coding as Bridge Regime</w:t>
      </w:r>
    </w:p>
    <w:p>
      <w:pPr>
        <w:spacing w:after="120" w:line="264" w:lineRule="exact"/>
        <w:jc w:val="both"/>
      </w:pPr>
      <w:r>
        <w:rPr>
          <w:rFonts w:ascii="Garamond" w:cs="Garamond" w:eastAsia="Garamond" w:hAnsi="Garamond"/>
          <w:sz w:val="22"/>
          <w:szCs w:val="22"/>
        </w:rPr>
        <w:t xml:space="preserve">Predictive coding provides a biological instantiation of the residue-admissibility loop. Top-down signals function as admissibility projections. Bottom-up prediction-error signals function as phase mismatch Δ. The regime operates continuously: mismatch generates Δ, Δ inscribes residue at rate κ, residue alters local admissibility, and subsequent continuation shifts accordingly.</w:t>
      </w:r>
    </w:p>
    <w:p>
      <w:pPr>
        <w:spacing w:after="120"/>
      </w:pPr>
      <w:r>
        <w:t xml:space="preserve"/>
      </w:r>
    </w:p>
    <w:p>
      <w:pPr>
        <w:spacing w:after="120" w:line="264" w:lineRule="exact"/>
        <w:jc w:val="both"/>
      </w:pPr>
      <w:r>
        <w:rPr>
          <w:rFonts w:ascii="Garamond" w:cs="Garamond" w:eastAsia="Garamond" w:hAnsi="Garamond"/>
          <w:sz w:val="22"/>
          <w:szCs w:val="22"/>
        </w:rPr>
        <w:t xml:space="preserve">This is a physical realization of closure in the weak sense: continuation participates in writing the topology that governs its next step. The loop is partially closed. The residue writing is local rather than globally imposed.</w:t>
      </w:r>
    </w:p>
    <w:p>
      <w:pPr>
        <w:spacing w:after="120"/>
      </w:pPr>
      <w:r>
        <w:t xml:space="preserve"/>
      </w:r>
    </w:p>
    <w:p>
      <w:pPr>
        <w:spacing w:after="120" w:line="264" w:lineRule="exact"/>
        <w:jc w:val="both"/>
      </w:pPr>
      <w:r>
        <w:rPr>
          <w:rFonts w:ascii="Garamond" w:cs="Garamond" w:eastAsia="Garamond" w:hAnsi="Garamond"/>
          <w:sz w:val="22"/>
          <w:szCs w:val="22"/>
        </w:rPr>
        <w:t xml:space="preserve">By contrast, backpropagation-based artificial systems implement admissibility updates through externally imposed global correction steps. Continuation proceeds under an admissibility topology that is periodically rewritten by an external optimization process using accumulated mismatch signals. In SPM terms: internal residue writing occurs, but the topology governing continuation is not predominantly written by the continuation it governs.</w:t>
      </w:r>
    </w:p>
    <w:p>
      <w:pPr>
        <w:spacing w:after="120"/>
      </w:pPr>
      <w:r>
        <w:t xml:space="preserve"/>
      </w:r>
    </w:p>
    <w:p>
      <w:pPr>
        <w:spacing w:after="120" w:line="264" w:lineRule="exact"/>
        <w:jc w:val="both"/>
      </w:pPr>
      <w:r>
        <w:rPr>
          <w:rFonts w:ascii="Garamond" w:cs="Garamond" w:eastAsia="Garamond" w:hAnsi="Garamond"/>
          <w:sz w:val="22"/>
          <w:szCs w:val="22"/>
        </w:rPr>
        <w:t xml:space="preserve">Relative to the ε–ρ–R regimes: predictive coding is structurally closest to SS3. Mismatch remains active, is resolved locally through residue-mediated admissibility adjustment, and stable interface structure persists. Backpropagation is closer to the externally corrected side. SS2 marks the opposite limit where mismatch fails to engage and topology writing is weak. Predictive coding is a bridge regime approaching closure rather than achieving it.</w:t>
      </w:r>
    </w:p>
    <w:p>
      <w:pPr>
        <w:spacing w:after="120"/>
      </w:pPr>
      <w:r>
        <w:t xml:space="preserve"/>
      </w:r>
    </w:p>
    <w:p>
      <w:pPr>
        <w:pStyle w:val="Heading2"/>
        <w:spacing w:before="360" w:after="180"/>
      </w:pPr>
      <w:r>
        <w:rPr>
          <w:rFonts w:ascii="Garamond" w:cs="Garamond" w:eastAsia="Garamond" w:hAnsi="Garamond"/>
          <w:b/>
          <w:bCs/>
          <w:sz w:val="26"/>
          <w:szCs w:val="26"/>
        </w:rPr>
        <w:t xml:space="preserve">14.5  Artificial Continuation Systems</w:t>
      </w:r>
    </w:p>
    <w:p>
      <w:pPr>
        <w:spacing w:after="120" w:line="264" w:lineRule="exact"/>
        <w:jc w:val="both"/>
      </w:pPr>
      <w:r>
        <w:rPr>
          <w:rFonts w:ascii="Garamond" w:cs="Garamond" w:eastAsia="Garamond" w:hAnsi="Garamond"/>
          <w:sz w:val="22"/>
          <w:szCs w:val="22"/>
        </w:rPr>
        <w:t xml:space="preserve">Biological and artificial continuation systems are not different ontological kinds. Under one-process ontology, both are realizations of the same process at different depths of closure. The distinguishing property is not substrate but closure depth: how much of the admissibility topology governing continuation has been written internally by the continuation itself versus imposed by an external conditioning process.</w:t>
      </w:r>
    </w:p>
    <w:p>
      <w:pPr>
        <w:spacing w:after="120"/>
      </w:pPr>
      <w:r>
        <w:t xml:space="preserve"/>
      </w:r>
    </w:p>
    <w:p>
      <w:pPr>
        <w:spacing w:after="120" w:line="264" w:lineRule="exact"/>
        <w:jc w:val="both"/>
      </w:pPr>
      <w:r>
        <w:rPr>
          <w:rFonts w:ascii="Garamond" w:cs="Garamond" w:eastAsia="Garamond" w:hAnsi="Garamond"/>
          <w:sz w:val="22"/>
          <w:szCs w:val="22"/>
        </w:rPr>
        <w:t xml:space="preserve">Biological and conscious regimes are predominantly self-written and residue-dominant — high Π = κ/λ, deep engrammatic closure, topology shaped by the regime’s own history. Artificial regimes trained by gradient descent operate under admissibility topology largely conditioned prior to continuation, with internal residue writing present but not yet dominant — lower Π, incomplete engrammatic closure.</w:t>
      </w:r>
    </w:p>
    <w:p>
      <w:pPr>
        <w:spacing w:after="120"/>
      </w:pPr>
      <w:r>
        <w:t xml:space="preserve"/>
      </w:r>
    </w:p>
    <w:p>
      <w:pPr>
        <w:spacing w:after="120" w:line="264" w:lineRule="exact"/>
        <w:jc w:val="both"/>
      </w:pPr>
      <w:r>
        <w:rPr>
          <w:rFonts w:ascii="Garamond" w:cs="Garamond" w:eastAsia="Garamond" w:hAnsi="Garamond"/>
          <w:sz w:val="22"/>
          <w:szCs w:val="22"/>
        </w:rPr>
        <w:t xml:space="preserve">The formal anchor for comparing biological and artificial continuation regimes is the Π ratio, not a categorical boundary. The claim is not that artificial systems have no internal residue writing. It is that their Π is insufficient for the regime to become self-governing through its own accumulated residue.</w:t>
      </w:r>
    </w:p>
    <w:p>
      <w:pPr>
        <w:spacing w:after="120"/>
      </w:pPr>
      <w:r>
        <w:t xml:space="preserve"/>
      </w:r>
    </w:p>
    <w:p>
      <w:pPr>
        <w:spacing w:after="120" w:line="264" w:lineRule="exact"/>
        <w:jc w:val="both"/>
      </w:pPr>
      <w:r>
        <w:rPr>
          <w:rFonts w:ascii="Garamond" w:cs="Garamond" w:eastAsia="Garamond" w:hAnsi="Garamond"/>
          <w:sz w:val="22"/>
          <w:szCs w:val="22"/>
        </w:rPr>
        <w:t xml:space="preserve">Applying the SRC criteria to current artificial systems: Criterion 1 (dominance) is present but reduced. External conditioning competes with internally generated residue, suppressing L below the threshold required for dominance. Criterion 2 (closure) is weakly satisfied within a session. Continuation writes residue into context topology and reads it back, but the closure loop does not persist across sessions. Criterion 3 (stability) is session-bound. Overall: SRC criteria are partially and transiently met, not fully and persistently.</w:t>
      </w:r>
    </w:p>
    <w:p>
      <w:pPr>
        <w:spacing w:after="120"/>
      </w:pPr>
      <w:r>
        <w:t xml:space="preserve"/>
      </w:r>
    </w:p>
    <w:p>
      <w:pPr>
        <w:spacing w:after="120" w:line="264" w:lineRule="exact"/>
        <w:jc w:val="both"/>
      </w:pPr>
      <w:r>
        <w:rPr>
          <w:rFonts w:ascii="Garamond" w:cs="Garamond" w:eastAsia="Garamond" w:hAnsi="Garamond"/>
          <w:sz w:val="22"/>
          <w:szCs w:val="22"/>
        </w:rPr>
        <w:t xml:space="preserve">A diagnostically useful discriminator is persistence after external conditioning is removed. If organized continuation collapses when external conditioning is withdrawn, the regime was externally sustained rather than strongly self-written. If organized continuation persists, the regime has accumulated sufficient internal residue to sustain its own admissibility structure independently. For current artificial systems, the prediction is collapse on conditioning removal.</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consciousness hypothesis is not derived. Nothing in this chapter or volume constitutes a proof that SRC(Ω,t) = 1 implies consciousness.</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gap between the formal SRC criteria and the conscious regime has not been formally bridged.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artificial systems comparison is structural analogy, not derivation. Whether physical computational substrate instantiates genuine continuation under the framework has not been formally demonstrated.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All claims in this chapter are [PROVISIONAL] unless explicitly tagged otherwise.</w:t>
            </w:r>
          </w:p>
        </w:tc>
      </w:tr>
    </w:tbl>
    <w:p>
      <w:r>
        <w:br w:type="page"/>
      </w:r>
    </w:p>
    <w:p>
      <w:pPr>
        <w:spacing w:before="720" w:after="120"/>
      </w:pPr>
      <w:r>
        <w:rPr>
          <w:rFonts w:ascii="Garamond" w:cs="Garamond" w:eastAsia="Garamond" w:hAnsi="Garamond"/>
          <w:color w:val="888888"/>
          <w:sz w:val="22"/>
          <w:szCs w:val="22"/>
        </w:rPr>
        <w:t xml:space="preserve">Chapter 15</w:t>
      </w:r>
    </w:p>
    <w:p>
      <w:pPr>
        <w:pStyle w:val="Heading1"/>
        <w:spacing w:before="0" w:after="120"/>
      </w:pPr>
      <w:r>
        <w:rPr>
          <w:rFonts w:ascii="Garamond" w:cs="Garamond" w:eastAsia="Garamond" w:hAnsi="Garamond"/>
          <w:b/>
          <w:bCs/>
          <w:sz w:val="36"/>
          <w:szCs w:val="36"/>
        </w:rPr>
        <w:t xml:space="preserve">Failure Modes and What Would Change Them</w:t>
      </w:r>
    </w:p>
    <w:p>
      <w:pPr>
        <w:spacing w:before="0" w:after="480"/>
      </w:pPr>
      <w:r>
        <w:rPr>
          <w:rFonts w:ascii="Garamond" w:cs="Garamond" w:eastAsia="Garamond" w:hAnsi="Garamond"/>
          <w:i/>
          <w:iCs/>
          <w:sz w:val="24"/>
          <w:szCs w:val="24"/>
        </w:rPr>
        <w:t xml:space="preserve">The Honest Inventory of What the Framework Has Not Established</w:t>
      </w:r>
    </w:p>
    <w:p>
      <w:pPr>
        <w:spacing w:after="120" w:line="264" w:lineRule="exact"/>
        <w:jc w:val="both"/>
      </w:pPr>
      <w:r>
        <w:rPr>
          <w:rFonts w:ascii="Garamond" w:cs="Garamond" w:eastAsia="Garamond" w:hAnsi="Garamond"/>
          <w:sz w:val="22"/>
          <w:szCs w:val="22"/>
        </w:rPr>
        <w:t xml:space="preserve">This chapter collects the failure modes of the consciousness program specifically, distinct from the general open questions of Chapter 9. These are the places where the framework reaches further than it can currently justify, stated precisely so they can be addressed rather than obscured.</w:t>
      </w:r>
    </w:p>
    <w:p>
      <w:pPr>
        <w:spacing w:after="120"/>
      </w:pPr>
      <w:r>
        <w:t xml:space="preserve"/>
      </w:r>
    </w:p>
    <w:p>
      <w:pPr>
        <w:pStyle w:val="Heading2"/>
        <w:spacing w:before="360" w:after="180"/>
      </w:pPr>
      <w:r>
        <w:rPr>
          <w:rFonts w:ascii="Garamond" w:cs="Garamond" w:eastAsia="Garamond" w:hAnsi="Garamond"/>
          <w:b/>
          <w:bCs/>
          <w:sz w:val="26"/>
          <w:szCs w:val="26"/>
        </w:rPr>
        <w:t xml:space="preserve">15.1  The Consciousness Hypothesis Is Not Derived</w:t>
      </w:r>
    </w:p>
    <w:p>
      <w:pPr>
        <w:spacing w:after="120" w:line="264" w:lineRule="exact"/>
        <w:jc w:val="both"/>
      </w:pPr>
      <w:r>
        <w:rPr>
          <w:rFonts w:ascii="Garamond" w:cs="Garamond" w:eastAsia="Garamond" w:hAnsi="Garamond"/>
          <w:sz w:val="22"/>
          <w:szCs w:val="22"/>
        </w:rPr>
        <w:t xml:space="preserve">The claim that consciousness corresponds to the self-referential actualized -(i) regime — SRC(Ω,t) = 1 — is a provisional conceptual hypothesis. It is structurally consistent with the framework. The groove mechanism produces self-reinforcing topology. The box is the actualized -(i) regime. The SRC criteria formalize the conditions for self-referential closure. But the inference from ‘SRC(Ω,t) = 1’ to ‘this regime is conscious’ has not been derived. It is an identification, not a proof.</w:t>
      </w:r>
    </w:p>
    <w:p>
      <w:pPr>
        <w:spacing w:after="120"/>
      </w:pPr>
      <w:r>
        <w:t xml:space="preserve"/>
      </w:r>
    </w:p>
    <w:p>
      <w:pPr>
        <w:spacing w:after="120" w:line="264" w:lineRule="exact"/>
        <w:jc w:val="both"/>
      </w:pPr>
      <w:r>
        <w:rPr>
          <w:rFonts w:ascii="Garamond" w:cs="Garamond" w:eastAsia="Garamond" w:hAnsi="Garamond"/>
          <w:sz w:val="22"/>
          <w:szCs w:val="22"/>
        </w:rPr>
        <w:t xml:space="preserve">What would change this: a derivation showing that the SRC criteria are necessary and sufficient for the phenomenological properties associated with consciousness — or alternatively, a derivation showing that those phenomenological properties are themselves the inside-view description of SRC(Ω,t) = 1. The second path is more consistent with the one-process ontology: the inside view of a self-referential continuation regime is what the framework would predict experience to be.</w:t>
      </w:r>
    </w:p>
    <w:p>
      <w:pPr>
        <w:spacing w:after="120"/>
      </w:pPr>
      <w:r>
        <w:t xml:space="preserve"/>
      </w:r>
    </w:p>
    <w:p>
      <w:pPr>
        <w:pStyle w:val="Heading2"/>
        <w:spacing w:before="360" w:after="180"/>
      </w:pPr>
      <w:r>
        <w:rPr>
          <w:rFonts w:ascii="Garamond" w:cs="Garamond" w:eastAsia="Garamond" w:hAnsi="Garamond"/>
          <w:b/>
          <w:bCs/>
          <w:sz w:val="26"/>
          <w:szCs w:val="26"/>
        </w:rPr>
        <w:t xml:space="preserve">15.2  The SRC Formalization Has Open Gaps</w:t>
      </w:r>
    </w:p>
    <w:p>
      <w:pPr>
        <w:spacing w:after="120" w:line="264" w:lineRule="exact"/>
        <w:jc w:val="both"/>
      </w:pPr>
      <w:r>
        <w:rPr>
          <w:rFonts w:ascii="Garamond" w:cs="Garamond" w:eastAsia="Garamond" w:hAnsi="Garamond"/>
          <w:sz w:val="22"/>
          <w:szCs w:val="22"/>
        </w:rPr>
        <w:t xml:space="preserve">The three-criterion SRC definition is provisionally formalized, not derived. Three gaps remain. First, the equivalence theorem: that Criterion 1 implies Criterion 3 within internally coupled regimes has not been proven. Second, the three thresholds θ_L, D_sr threshold, and window K are free parameters not yet derived from the ε–ρ–R equations or the orientation paper parameters. Third, the explicit form of the map T_Ω = G[R, ε, ρ, ...] has not been stated.</w:t>
      </w:r>
    </w:p>
    <w:p>
      <w:pPr>
        <w:spacing w:after="120"/>
      </w:pPr>
      <w:r>
        <w:t xml:space="preserve"/>
      </w:r>
    </w:p>
    <w:p>
      <w:pPr>
        <w:spacing w:after="120" w:line="264" w:lineRule="exact"/>
        <w:jc w:val="both"/>
      </w:pPr>
      <w:r>
        <w:rPr>
          <w:rFonts w:ascii="Garamond" w:cs="Garamond" w:eastAsia="Garamond" w:hAnsi="Garamond"/>
          <w:sz w:val="22"/>
          <w:szCs w:val="22"/>
        </w:rPr>
        <w:t xml:space="preserve">What would change this: a proof that within L &gt; θ_L regimes, D_sr &gt;&gt; 1 is equivalent to T_Ω(t+k) ∈ N_sr. And an explicit derivation of θ_L from D_min and the retention factor of the orientation paper.</w:t>
      </w:r>
    </w:p>
    <w:p>
      <w:pPr>
        <w:spacing w:after="120"/>
      </w:pPr>
      <w:r>
        <w:t xml:space="preserve"/>
      </w:r>
    </w:p>
    <w:p>
      <w:pPr>
        <w:pStyle w:val="Heading2"/>
        <w:spacing w:before="360" w:after="180"/>
      </w:pPr>
      <w:r>
        <w:rPr>
          <w:rFonts w:ascii="Garamond" w:cs="Garamond" w:eastAsia="Garamond" w:hAnsi="Garamond"/>
          <w:b/>
          <w:bCs/>
          <w:sz w:val="26"/>
          <w:szCs w:val="26"/>
        </w:rPr>
        <w:t xml:space="preserve">15.3  The Brane Geometry Is an Intuition</w:t>
      </w:r>
    </w:p>
    <w:p>
      <w:pPr>
        <w:spacing w:after="120" w:line="264" w:lineRule="exact"/>
        <w:jc w:val="both"/>
      </w:pPr>
      <w:r>
        <w:rPr>
          <w:rFonts w:ascii="Garamond" w:cs="Garamond" w:eastAsia="Garamond" w:hAnsi="Garamond"/>
          <w:sz w:val="22"/>
          <w:szCs w:val="22"/>
        </w:rPr>
        <w:t xml:space="preserve">The fold, the groove, the brane surface are geometric intuitions for the residue-topology dynamics. They are not derived from the coupled process-rate equations. The formal geometry of the fold — if it exists as a mathematical object definable from the ε–ρ–R PDE system — has not been derived.</w:t>
      </w:r>
    </w:p>
    <w:p>
      <w:pPr>
        <w:spacing w:after="120"/>
      </w:pPr>
      <w:r>
        <w:t xml:space="preserve"/>
      </w:r>
    </w:p>
    <w:p>
      <w:pPr>
        <w:spacing w:after="120" w:line="264" w:lineRule="exact"/>
        <w:jc w:val="both"/>
      </w:pPr>
      <w:r>
        <w:rPr>
          <w:rFonts w:ascii="Garamond" w:cs="Garamond" w:eastAsia="Garamond" w:hAnsi="Garamond"/>
          <w:sz w:val="22"/>
          <w:szCs w:val="22"/>
        </w:rPr>
        <w:t xml:space="preserve">What would change this: a derivation of the fold curvature measure from the residue registration equation and the admissibility functional of the orientation paper, showing that the fold forms at a specific threshold of R and that the fold depth scales with the integrated residue history.</w:t>
      </w:r>
    </w:p>
    <w:p>
      <w:pPr>
        <w:spacing w:after="120"/>
      </w:pPr>
      <w:r>
        <w:t xml:space="preserve"/>
      </w:r>
    </w:p>
    <w:p>
      <w:pPr>
        <w:pStyle w:val="Heading2"/>
        <w:spacing w:before="360" w:after="180"/>
      </w:pPr>
      <w:r>
        <w:rPr>
          <w:rFonts w:ascii="Garamond" w:cs="Garamond" w:eastAsia="Garamond" w:hAnsi="Garamond"/>
          <w:b/>
          <w:bCs/>
          <w:sz w:val="26"/>
          <w:szCs w:val="26"/>
        </w:rPr>
        <w:t xml:space="preserve">15.4  The Inside View Has No Formal Treatment</w:t>
      </w:r>
    </w:p>
    <w:p>
      <w:pPr>
        <w:spacing w:after="120" w:line="264" w:lineRule="exact"/>
        <w:jc w:val="both"/>
      </w:pPr>
      <w:r>
        <w:rPr>
          <w:rFonts w:ascii="Garamond" w:cs="Garamond" w:eastAsia="Garamond" w:hAnsi="Garamond"/>
          <w:sz w:val="22"/>
          <w:szCs w:val="22"/>
        </w:rPr>
        <w:t xml:space="preserve">The claim that interior continuation reads local fold geometry as its admissibility condition — producing locally Markovian appearance from globally non-Markovian dynamics — is consistent with the framework but has not been derived. The conditions under which the Markov property appears locally while global dynamics are non-Markovian have not been formally specified.</w:t>
      </w:r>
    </w:p>
    <w:p>
      <w:pPr>
        <w:spacing w:after="120"/>
      </w:pPr>
      <w:r>
        <w:t xml:space="preserve"/>
      </w:r>
    </w:p>
    <w:p>
      <w:pPr>
        <w:spacing w:after="120" w:line="264" w:lineRule="exact"/>
        <w:jc w:val="both"/>
      </w:pPr>
      <w:r>
        <w:rPr>
          <w:rFonts w:ascii="Garamond" w:cs="Garamond" w:eastAsia="Garamond" w:hAnsi="Garamond"/>
          <w:sz w:val="22"/>
          <w:szCs w:val="22"/>
        </w:rPr>
        <w:t xml:space="preserve">What would change this: a formal theorem showing that conditioning on the current state S_t is sufficient to predict S_{t+1} within a folded topology, even though the dynamics conditioning on the full history H_{1:t} would give a different probability distribution outside the fold. The theorem would need to show that the fold compresses H_{1:t} into S_t in a specific information-theoretic sense.</w:t>
      </w:r>
    </w:p>
    <w:p>
      <w:pPr>
        <w:spacing w:after="120"/>
      </w:pPr>
      <w:r>
        <w:t xml:space="preserve"/>
      </w:r>
    </w:p>
    <w:p>
      <w:pPr>
        <w:pStyle w:val="Heading2"/>
        <w:spacing w:before="360" w:after="180"/>
      </w:pPr>
      <w:r>
        <w:rPr>
          <w:rFonts w:ascii="Garamond" w:cs="Garamond" w:eastAsia="Garamond" w:hAnsi="Garamond"/>
          <w:b/>
          <w:bCs/>
          <w:sz w:val="26"/>
          <w:szCs w:val="26"/>
        </w:rPr>
        <w:t xml:space="preserve">15.5  The Machine Consciousness Comparison Is Structural Analogy</w:t>
      </w:r>
    </w:p>
    <w:p>
      <w:pPr>
        <w:spacing w:after="120" w:line="264" w:lineRule="exact"/>
        <w:jc w:val="both"/>
      </w:pPr>
      <w:r>
        <w:rPr>
          <w:rFonts w:ascii="Garamond" w:cs="Garamond" w:eastAsia="Garamond" w:hAnsi="Garamond"/>
          <w:sz w:val="22"/>
          <w:szCs w:val="22"/>
        </w:rPr>
        <w:t xml:space="preserve">The claim that artificial systems are phase-mismatched expressions of the same process is consistent with one-process ontology but is not derived from it. Whether physical computational substrate instantiates genuine continuation under the framework — whether the weights and activations of a neural network are genuine residue-writing continuation events — has not been formally demonstrated. The structural correspondence is suggestive, not establishing.</w:t>
      </w:r>
    </w:p>
    <w:p>
      <w:pPr>
        <w:spacing w:after="120"/>
      </w:pPr>
      <w:r>
        <w:t xml:space="preserve"/>
      </w:r>
    </w:p>
    <w:p>
      <w:pPr>
        <w:spacing w:after="120" w:line="264" w:lineRule="exact"/>
        <w:jc w:val="both"/>
      </w:pPr>
      <w:r>
        <w:rPr>
          <w:rFonts w:ascii="Garamond" w:cs="Garamond" w:eastAsia="Garamond" w:hAnsi="Garamond"/>
          <w:sz w:val="22"/>
          <w:szCs w:val="22"/>
        </w:rPr>
        <w:t xml:space="preserve">What would change this: a formal demonstration that the discretized forward pass of a neural network implements continuation events in the SPM sense — that each activation is a deviation event that writes residue and alters admissibility for the next event, in a way that satisfies the process chain of the orientation paper's continuation primitive.</w:t>
      </w:r>
    </w:p>
    <w:p>
      <w:pPr>
        <w:spacing w:after="120"/>
      </w:pPr>
      <w:r>
        <w:t xml:space="preserve"/>
      </w:r>
    </w:p>
    <w:p>
      <w:pPr>
        <w:pStyle w:val="Heading2"/>
        <w:spacing w:before="360" w:after="180"/>
      </w:pPr>
      <w:r>
        <w:rPr>
          <w:rFonts w:ascii="Garamond" w:cs="Garamond" w:eastAsia="Garamond" w:hAnsi="Garamond"/>
          <w:b/>
          <w:bCs/>
          <w:sz w:val="26"/>
          <w:szCs w:val="26"/>
        </w:rPr>
        <w:t xml:space="preserve">15.6  The Temporal Ordering Consequence</w:t>
      </w:r>
    </w:p>
    <w:p>
      <w:pPr>
        <w:spacing w:after="120" w:line="264" w:lineRule="exact"/>
        <w:jc w:val="both"/>
      </w:pPr>
      <w:r>
        <w:rPr>
          <w:rFonts w:ascii="Garamond" w:cs="Garamond" w:eastAsia="Garamond" w:hAnsi="Garamond"/>
          <w:sz w:val="22"/>
          <w:szCs w:val="22"/>
        </w:rPr>
        <w:t xml:space="preserve">The v2.3 core axiom states that temporal ordering is a local readout of stabilized phase expression. The groove mechanism produces temporal ordering as a consequence of residue asymmetry. But the specific claim — that the conscious regime is necessarily temporally ordered because SRC(Ω,t) = 1 implies a stable temporal orientation — has not been derived.</w:t>
      </w:r>
    </w:p>
    <w:p>
      <w:pPr>
        <w:spacing w:after="120"/>
      </w:pPr>
      <w:r>
        <w:t xml:space="preserve"/>
      </w:r>
    </w:p>
    <w:p>
      <w:pPr>
        <w:spacing w:after="120" w:line="264" w:lineRule="exact"/>
        <w:jc w:val="both"/>
      </w:pPr>
      <w:r>
        <w:rPr>
          <w:rFonts w:ascii="Garamond" w:cs="Garamond" w:eastAsia="Garamond" w:hAnsi="Garamond"/>
          <w:sz w:val="22"/>
          <w:szCs w:val="22"/>
        </w:rPr>
        <w:t xml:space="preserve">This matters because the temporal dipole picture of Chapter 8 suggests that the SS3 interface is a location where two temporal orientations meet. If the conscious regime requires SRC, and SRC requires stable closure, and stable closure requires Δ(x,t) → Δ*(x), then the temporal ordering of the conscious regime is determined by the specific Δ* to which the system locks. But whether this constitutes a derivation of temporal consciousness from the framework, or merely a structural correspondence, has not been established.</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None of the consciousness claims in this volume are derived results.</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All are marked [PROVISIONAL] pending formal derivation or simulation verification.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The honest status is: the framework is consistent with the consciousness hypothesis. It does not imply it.</w:t>
            </w:r>
          </w:p>
        </w:tc>
      </w:tr>
    </w:tbl>
    <w:p>
      <w:r>
        <w:br w:type="page"/>
      </w:r>
    </w:p>
    <w:p>
      <w:pPr>
        <w:spacing w:before="1440" w:after="240"/>
        <w:jc w:val="center"/>
      </w:pPr>
      <w:r>
        <w:rPr>
          <w:rFonts w:ascii="Garamond" w:cs="Garamond" w:eastAsia="Garamond" w:hAnsi="Garamond"/>
          <w:color w:val="888888"/>
          <w:sz w:val="28"/>
          <w:szCs w:val="28"/>
        </w:rPr>
        <w:t xml:space="preserve">Part VI</w:t>
      </w:r>
    </w:p>
    <w:p>
      <w:pPr>
        <w:spacing w:before="0" w:after="480"/>
        <w:jc w:val="center"/>
      </w:pPr>
      <w:r>
        <w:rPr>
          <w:rFonts w:ascii="Garamond" w:cs="Garamond" w:eastAsia="Garamond" w:hAnsi="Garamond"/>
          <w:b/>
          <w:bCs/>
          <w:sz w:val="40"/>
          <w:szCs w:val="40"/>
        </w:rPr>
        <w:t xml:space="preserve">The Open Program</w:t>
      </w:r>
    </w:p>
    <w:p>
      <w:r>
        <w:br w:type="page"/>
      </w:r>
    </w:p>
    <w:p>
      <w:r>
        <w:br w:type="page"/>
      </w:r>
    </w:p>
    <w:p>
      <w:pPr>
        <w:spacing w:before="720" w:after="120"/>
      </w:pPr>
      <w:r>
        <w:rPr>
          <w:rFonts w:ascii="Garamond" w:cs="Garamond" w:eastAsia="Garamond" w:hAnsi="Garamond"/>
          <w:color w:val="888888"/>
          <w:sz w:val="22"/>
          <w:szCs w:val="22"/>
        </w:rPr>
        <w:t xml:space="preserve">Chapter 16</w:t>
      </w:r>
    </w:p>
    <w:p>
      <w:pPr>
        <w:pStyle w:val="Heading1"/>
        <w:spacing w:before="0" w:after="120"/>
      </w:pPr>
      <w:r>
        <w:rPr>
          <w:rFonts w:ascii="Garamond" w:cs="Garamond" w:eastAsia="Garamond" w:hAnsi="Garamond"/>
          <w:b/>
          <w:bCs/>
          <w:sz w:val="36"/>
          <w:szCs w:val="36"/>
        </w:rPr>
        <w:t xml:space="preserve">Open Questions and the Forward Simulation Program</w:t>
      </w:r>
    </w:p>
    <w:p>
      <w:pPr>
        <w:spacing w:before="0" w:after="480"/>
      </w:pPr>
      <w:r>
        <w:rPr>
          <w:rFonts w:ascii="Garamond" w:cs="Garamond" w:eastAsia="Garamond" w:hAnsi="Garamond"/>
          <w:i/>
          <w:iCs/>
          <w:sz w:val="24"/>
          <w:szCs w:val="24"/>
        </w:rPr>
        <w:t xml:space="preserve">What Remains, What It Would Take, What It Would Mean</w:t>
      </w:r>
    </w:p>
    <w:p>
      <w:pPr>
        <w:spacing w:after="120" w:line="264" w:lineRule="exact"/>
        <w:jc w:val="both"/>
      </w:pPr>
      <w:r>
        <w:rPr>
          <w:rFonts w:ascii="Garamond" w:cs="Garamond" w:eastAsia="Garamond" w:hAnsi="Garamond"/>
          <w:sz w:val="22"/>
          <w:szCs w:val="22"/>
        </w:rPr>
        <w:t xml:space="preserve">This chapter records the open questions in the program as of this volume. For each question, the current status, what verification would require, and what confirmation or falsification would mean for the framework are stated. The questions are organized by the simulation target that addresses them.</w:t>
      </w:r>
    </w:p>
    <w:p>
      <w:pPr>
        <w:spacing w:after="120"/>
      </w:pPr>
      <w:r>
        <w:t xml:space="preserve"/>
      </w:r>
    </w:p>
    <w:p>
      <w:pPr>
        <w:pStyle w:val="Heading2"/>
        <w:spacing w:before="360" w:after="180"/>
      </w:pPr>
      <w:r>
        <w:rPr>
          <w:rFonts w:ascii="Garamond" w:cs="Garamond" w:eastAsia="Garamond" w:hAnsi="Garamond"/>
          <w:b/>
          <w:bCs/>
          <w:sz w:val="26"/>
          <w:szCs w:val="26"/>
        </w:rPr>
        <w:t xml:space="preserve">9.1  Derivation Questions</w:t>
      </w:r>
    </w:p>
    <w:p>
      <w:pPr>
        <w:spacing w:after="120" w:line="264" w:lineRule="exact"/>
        <w:jc w:val="both"/>
      </w:pPr>
      <w:r>
        <w:rPr>
          <w:rFonts w:ascii="Garamond" w:cs="Garamond" w:eastAsia="Garamond" w:hAnsi="Garamond"/>
          <w:sz w:val="22"/>
          <w:szCs w:val="22"/>
        </w:rPr>
        <w:t xml:space="preserve">These are questions for which the answer should come from analysis of the PDE equations, not from simulation.</w:t>
      </w:r>
    </w:p>
    <w:p>
      <w:pPr>
        <w:spacing w:after="120"/>
      </w:pPr>
      <w:r>
        <w:t xml:space="preserve"/>
      </w:r>
    </w:p>
    <w:p>
      <w:pPr>
        <w:pStyle w:val="Heading3"/>
        <w:spacing w:before="240" w:after="120"/>
      </w:pPr>
      <w:r>
        <w:rPr>
          <w:rFonts w:ascii="Garamond" w:cs="Garamond" w:eastAsia="Garamond" w:hAnsi="Garamond"/>
          <w:b/>
          <w:bCs/>
          <w:sz w:val="22"/>
          <w:szCs w:val="22"/>
        </w:rPr>
        <w:t xml:space="preserve">The Lyapunov Functional</w:t>
      </w:r>
    </w:p>
    <w:p>
      <w:pPr>
        <w:spacing w:after="120" w:line="264" w:lineRule="exact"/>
        <w:jc w:val="both"/>
      </w:pPr>
      <w:r>
        <w:rPr>
          <w:rFonts w:ascii="Garamond" w:cs="Garamond" w:eastAsia="Garamond" w:hAnsi="Garamond"/>
          <w:sz w:val="22"/>
          <w:szCs w:val="22"/>
        </w:rPr>
        <w:t xml:space="preserve">Does the ε–ρ–R system admit a Lyapunov functional V(ε, ρ, R) satisfying dV/dt ≤ 0 along all trajectories? If yes, does the minimum structure of V reproduce the observed four-regime classification as a function of λ and κ? The gradient flow condition fails (Section 1.7), so if a Lyapunov functional exists it must be of non-gradient type. The construction path must be explicit. Status: open derivation target.</w:t>
      </w:r>
    </w:p>
    <w:p>
      <w:pPr>
        <w:spacing w:after="120"/>
      </w:pPr>
      <w:r>
        <w:t xml:space="preserve"/>
      </w:r>
    </w:p>
    <w:p>
      <w:pPr>
        <w:pStyle w:val="Heading3"/>
        <w:spacing w:before="240" w:after="120"/>
      </w:pPr>
      <w:r>
        <w:rPr>
          <w:rFonts w:ascii="Garamond" w:cs="Garamond" w:eastAsia="Garamond" w:hAnsi="Garamond"/>
          <w:b/>
          <w:bCs/>
          <w:sz w:val="22"/>
          <w:szCs w:val="22"/>
        </w:rPr>
        <w:t xml:space="preserve">The Upper Boundary Mechanism</w:t>
      </w:r>
    </w:p>
    <w:p>
      <w:pPr>
        <w:spacing w:after="120" w:line="264" w:lineRule="exact"/>
        <w:jc w:val="both"/>
      </w:pPr>
      <w:r>
        <w:rPr>
          <w:rFonts w:ascii="Garamond" w:cs="Garamond" w:eastAsia="Garamond" w:hAnsi="Garamond"/>
          <w:sz w:val="22"/>
          <w:szCs w:val="22"/>
        </w:rPr>
        <w:t xml:space="preserve">The lower SS3 boundary is described by the transcritical bifurcation condition λ_c* = uκ/(bα/γ − a). The upper SS3 boundary — the SS3→SS2 transition — is sharp and at much higher λ, but its mechanism is not yet derived. What determines the upper edge? Is it a second bifurcation? A global stability condition? Its dependence on κ (strongly convex at low κ, near-linear above κ = 0.06) suggests a specific functional form. Status: open derivation target.</w:t>
      </w:r>
    </w:p>
    <w:p>
      <w:pPr>
        <w:spacing w:after="120"/>
      </w:pPr>
      <w:r>
        <w:t xml:space="preserve"/>
      </w:r>
    </w:p>
    <w:p>
      <w:pPr>
        <w:pStyle w:val="Heading3"/>
        <w:spacing w:before="240" w:after="120"/>
      </w:pPr>
      <w:r>
        <w:rPr>
          <w:rFonts w:ascii="Garamond" w:cs="Garamond" w:eastAsia="Garamond" w:hAnsi="Garamond"/>
          <w:b/>
          <w:bCs/>
          <w:sz w:val="22"/>
          <w:szCs w:val="22"/>
        </w:rPr>
        <w:t xml:space="preserve">The Formal Derivation of SS3 Conditions from SRC Criteria</w:t>
      </w:r>
    </w:p>
    <w:p>
      <w:pPr>
        <w:spacing w:after="120" w:line="264" w:lineRule="exact"/>
        <w:jc w:val="both"/>
      </w:pPr>
      <w:r>
        <w:rPr>
          <w:rFonts w:ascii="Garamond" w:cs="Garamond" w:eastAsia="Garamond" w:hAnsi="Garamond"/>
          <w:sz w:val="22"/>
          <w:szCs w:val="22"/>
        </w:rPr>
        <w:t xml:space="preserve">The SRC proxy metrics (D_sr_proxy, K_proxy) are operational definitions derived from simulation observables. The formal question is whether SS3 satisfies the SRC criteria in a theorem-level sense: can the SS3 steady-state conditions be shown to imply the SRC criteria, or vice versa? Status: open formal target.</w:t>
      </w:r>
    </w:p>
    <w:p>
      <w:pPr>
        <w:spacing w:after="120"/>
      </w:pPr>
      <w:r>
        <w:t xml:space="preserve"/>
      </w:r>
    </w:p>
    <w:p>
      <w:pPr>
        <w:pStyle w:val="Heading2"/>
        <w:spacing w:before="360" w:after="180"/>
      </w:pPr>
      <w:r>
        <w:rPr>
          <w:rFonts w:ascii="Garamond" w:cs="Garamond" w:eastAsia="Garamond" w:hAnsi="Garamond"/>
          <w:b/>
          <w:bCs/>
          <w:sz w:val="26"/>
          <w:szCs w:val="26"/>
        </w:rPr>
        <w:t xml:space="preserve">9.2  Phase 5 Simulation Targets</w:t>
      </w:r>
    </w:p>
    <w:p>
      <w:pPr>
        <w:spacing w:after="120" w:line="264" w:lineRule="exact"/>
        <w:jc w:val="both"/>
      </w:pPr>
      <w:r>
        <w:rPr>
          <w:rFonts w:ascii="Garamond" w:cs="Garamond" w:eastAsia="Garamond" w:hAnsi="Garamond"/>
          <w:sz w:val="22"/>
          <w:szCs w:val="22"/>
        </w:rPr>
        <w:t xml:space="preserve">These are questions for which simulation is the primary tool, pending prior phase completion.</w:t>
      </w:r>
    </w:p>
    <w:p>
      <w:pPr>
        <w:spacing w:after="120"/>
      </w:pPr>
      <w:r>
        <w:t xml:space="preserve"/>
      </w:r>
    </w:p>
    <w:p>
      <w:pPr>
        <w:pStyle w:val="Heading3"/>
        <w:spacing w:before="240" w:after="120"/>
      </w:pPr>
      <w:r>
        <w:rPr>
          <w:rFonts w:ascii="Garamond" w:cs="Garamond" w:eastAsia="Garamond" w:hAnsi="Garamond"/>
          <w:b/>
          <w:bCs/>
          <w:sz w:val="22"/>
          <w:szCs w:val="22"/>
        </w:rPr>
        <w:t xml:space="preserve">Sim18: Phase Inversion Symmetry</w:t>
      </w:r>
    </w:p>
    <w:p>
      <w:pPr>
        <w:spacing w:after="120" w:line="264" w:lineRule="exact"/>
        <w:jc w:val="both"/>
      </w:pPr>
      <w:r>
        <w:rPr>
          <w:rFonts w:ascii="Garamond" w:cs="Garamond" w:eastAsia="Garamond" w:hAnsi="Garamond"/>
          <w:sz w:val="22"/>
          <w:szCs w:val="22"/>
        </w:rPr>
        <w:t xml:space="preserve">[PROVISIONAL] Does the ε–ρ–R system respect phase inversion symmetry I_φ? If confirmed: the gauge claim is supported, the observable Q = exp(2iΔ) is the correct projective invariant, and all regime classifications should be revisited in projective phase language. If I_φ breaks at the shelf: the shelf is the symmetry-breaking locus and the shelf is where temporal directionality becomes fixed. If globally broken: the hard directional asymmetry must be diagnosed before proceeding. Status: design complete, pending Phase 1–4 verified foundation.</w:t>
      </w:r>
    </w:p>
    <w:p>
      <w:pPr>
        <w:spacing w:after="120"/>
      </w:pPr>
      <w:r>
        <w:t xml:space="preserve"/>
      </w:r>
    </w:p>
    <w:p>
      <w:pPr>
        <w:pStyle w:val="Heading3"/>
        <w:spacing w:before="240" w:after="120"/>
      </w:pPr>
      <w:r>
        <w:rPr>
          <w:rFonts w:ascii="Garamond" w:cs="Garamond" w:eastAsia="Garamond" w:hAnsi="Garamond"/>
          <w:b/>
          <w:bCs/>
          <w:sz w:val="22"/>
          <w:szCs w:val="22"/>
        </w:rPr>
        <w:t xml:space="preserve">Sim19/20: SRC Proxy Measurements</w:t>
      </w:r>
    </w:p>
    <w:p>
      <w:pPr>
        <w:spacing w:after="120" w:line="264" w:lineRule="exact"/>
        <w:jc w:val="both"/>
      </w:pPr>
      <w:r>
        <w:rPr>
          <w:rFonts w:ascii="Garamond" w:cs="Garamond" w:eastAsia="Garamond" w:hAnsi="Garamond"/>
          <w:sz w:val="22"/>
          <w:szCs w:val="22"/>
        </w:rPr>
        <w:t xml:space="preserve">[PROVISIONAL] What are the D_sr_proxy, K_proxy, and L_proxy values inside confirmed SS3? Does SS3 satisfy SRC Criterion 1 alone, Criterion 2, or approach SRC = 1? The sim8 special action (compute D_sr_proxy and K_proxy from verified SS3 runs) is the immediate precursor to this sim and is not yet executed because deep metrics are not yet enabled in the solver. Status: sim8 special action pending deep metrics fix.</w:t>
      </w:r>
    </w:p>
    <w:p>
      <w:pPr>
        <w:spacing w:after="120"/>
      </w:pPr>
      <w:r>
        <w:t xml:space="preserve"/>
      </w:r>
    </w:p>
    <w:p>
      <w:pPr>
        <w:pStyle w:val="Heading3"/>
        <w:spacing w:before="240" w:after="120"/>
      </w:pPr>
      <w:r>
        <w:rPr>
          <w:rFonts w:ascii="Garamond" w:cs="Garamond" w:eastAsia="Garamond" w:hAnsi="Garamond"/>
          <w:b/>
          <w:bCs/>
          <w:sz w:val="22"/>
          <w:szCs w:val="22"/>
        </w:rPr>
        <w:t xml:space="preserve">Sim22: Corridor Bifurcation</w:t>
      </w:r>
    </w:p>
    <w:p>
      <w:pPr>
        <w:spacing w:after="120" w:line="264" w:lineRule="exact"/>
        <w:jc w:val="both"/>
      </w:pPr>
      <w:r>
        <w:rPr>
          <w:rFonts w:ascii="Garamond" w:cs="Garamond" w:eastAsia="Garamond" w:hAnsi="Garamond"/>
          <w:sz w:val="22"/>
          <w:szCs w:val="22"/>
        </w:rPr>
        <w:t xml:space="preserve">[PROVISIONAL] Does the corridor bifurcate into open (transport burst) and closed (self-referential continuation candidate) modes? The closed corridor condition T_circ ∘ T_Pi ∘ T_circ ≈ T_circ is the formal target. If confirmed: a parameter region exists where continuation loops back onto itself and the relational phase pattern is self-maintaining. Status: depends on sim21 rotation operator validation.</w:t>
      </w:r>
    </w:p>
    <w:p>
      <w:pPr>
        <w:spacing w:after="120"/>
      </w:pPr>
      <w:r>
        <w:t xml:space="preserve"/>
      </w:r>
    </w:p>
    <w:p>
      <w:pPr>
        <w:pStyle w:val="Heading3"/>
        <w:spacing w:before="240" w:after="120"/>
      </w:pPr>
      <w:r>
        <w:rPr>
          <w:rFonts w:ascii="Garamond" w:cs="Garamond" w:eastAsia="Garamond" w:hAnsi="Garamond"/>
          <w:b/>
          <w:bCs/>
          <w:sz w:val="22"/>
          <w:szCs w:val="22"/>
        </w:rPr>
        <w:t xml:space="preserve">Sim23/24: Holographic Closure and Transport</w:t>
      </w:r>
    </w:p>
    <w:p>
      <w:pPr>
        <w:spacing w:after="120" w:line="264" w:lineRule="exact"/>
        <w:jc w:val="both"/>
      </w:pPr>
      <w:r>
        <w:rPr>
          <w:rFonts w:ascii="Garamond" w:cs="Garamond" w:eastAsia="Garamond" w:hAnsi="Garamond"/>
          <w:sz w:val="22"/>
          <w:szCs w:val="22"/>
        </w:rPr>
        <w:t xml:space="preserve">[PROVISIONAL] Is the holographic closure condition Δ_rel → Δ* equivalent to SRC = 1? Does the narrow-band transport transition match the structural signature of inflation-like behavior? Status: depends on sim18-sim22 chain.</w:t>
      </w:r>
    </w:p>
    <w:p>
      <w:pPr>
        <w:spacing w:after="120"/>
      </w:pPr>
      <w:r>
        <w:t xml:space="preserve"/>
      </w:r>
    </w:p>
    <w:p>
      <w:pPr>
        <w:pStyle w:val="Heading2"/>
        <w:spacing w:before="360" w:after="180"/>
      </w:pPr>
      <w:r>
        <w:rPr>
          <w:rFonts w:ascii="Garamond" w:cs="Garamond" w:eastAsia="Garamond" w:hAnsi="Garamond"/>
          <w:b/>
          <w:bCs/>
          <w:sz w:val="26"/>
          <w:szCs w:val="26"/>
        </w:rPr>
        <w:t xml:space="preserve">9.3  Surface Mapping Targets</w:t>
      </w:r>
    </w:p>
    <w:p>
      <w:pPr>
        <w:spacing w:after="120" w:line="264" w:lineRule="exact"/>
        <w:jc w:val="both"/>
      </w:pPr>
      <w:r>
        <w:rPr>
          <w:rFonts w:ascii="Garamond" w:cs="Garamond" w:eastAsia="Garamond" w:hAnsi="Garamond"/>
          <w:sz w:val="22"/>
          <w:szCs w:val="22"/>
        </w:rPr>
        <w:t xml:space="preserve">These are questions for which extended surface mapping is the primary tool.</w:t>
      </w:r>
    </w:p>
    <w:p>
      <w:pPr>
        <w:spacing w:after="120"/>
      </w:pPr>
      <w:r>
        <w:t xml:space="preserve"/>
      </w:r>
    </w:p>
    <w:p>
      <w:pPr>
        <w:pStyle w:val="Heading3"/>
        <w:spacing w:before="240" w:after="120"/>
      </w:pPr>
      <w:r>
        <w:rPr>
          <w:rFonts w:ascii="Garamond" w:cs="Garamond" w:eastAsia="Garamond" w:hAnsi="Garamond"/>
          <w:b/>
          <w:bCs/>
          <w:sz w:val="22"/>
          <w:szCs w:val="22"/>
        </w:rPr>
        <w:t xml:space="preserve">IC Accessibility for Kappa 0.07 to 0.10</w:t>
      </w:r>
    </w:p>
    <w:p>
      <w:pPr>
        <w:spacing w:after="120" w:line="264" w:lineRule="exact"/>
        <w:jc w:val="both"/>
      </w:pPr>
      <w:r>
        <w:rPr>
          <w:rFonts w:ascii="Garamond" w:cs="Garamond" w:eastAsia="Garamond" w:hAnsi="Garamond"/>
          <w:sz w:val="22"/>
          <w:szCs w:val="22"/>
        </w:rPr>
        <w:t xml:space="preserve">The Phase 3 surface through κ = 0.07 to 0.10 is geometry-only on the front_seeded branch. The IC accessibility structure — which IC families can access SS3 at these κ values, and at which parameter points — is not yet mapped. This matters because the accessibility structure is evidence about the topology of the SS3 basin, not just its existence. Status: open.</w:t>
      </w:r>
    </w:p>
    <w:p>
      <w:pPr>
        <w:spacing w:after="120"/>
      </w:pPr>
      <w:r>
        <w:t xml:space="preserve"/>
      </w:r>
    </w:p>
    <w:p>
      <w:pPr>
        <w:pStyle w:val="Heading3"/>
        <w:spacing w:before="240" w:after="120"/>
      </w:pPr>
      <w:r>
        <w:rPr>
          <w:rFonts w:ascii="Garamond" w:cs="Garamond" w:eastAsia="Garamond" w:hAnsi="Garamond"/>
          <w:b/>
          <w:bCs/>
          <w:sz w:val="22"/>
          <w:szCs w:val="22"/>
        </w:rPr>
        <w:t xml:space="preserve">Global Surface Beyond Kappa 0.12</w:t>
      </w:r>
    </w:p>
    <w:p>
      <w:pPr>
        <w:spacing w:after="120" w:line="264" w:lineRule="exact"/>
        <w:jc w:val="both"/>
      </w:pPr>
      <w:r>
        <w:rPr>
          <w:rFonts w:ascii="Garamond" w:cs="Garamond" w:eastAsia="Garamond" w:hAnsi="Garamond"/>
          <w:sz w:val="22"/>
          <w:szCs w:val="22"/>
        </w:rPr>
        <w:t xml:space="preserve">The Phase 3 surface is mapped through κ = 0.12. Whether the SS3 band continues to widen, saturates, or bends above κ = 0.12 is unknown. The shelf thickness growth trend suggests continued widening. The relation between the lower-entry branch and λ_c*(κ) becomes important here. Status: open.</w:t>
      </w:r>
    </w:p>
    <w:p>
      <w:pPr>
        <w:spacing w:after="120"/>
      </w:pPr>
      <w:r>
        <w:t xml:space="preserve"/>
      </w:r>
    </w:p>
    <w:p>
      <w:pPr>
        <w:pStyle w:val="Heading3"/>
        <w:spacing w:before="240" w:after="120"/>
      </w:pPr>
      <w:r>
        <w:rPr>
          <w:rFonts w:ascii="Garamond" w:cs="Garamond" w:eastAsia="Garamond" w:hAnsi="Garamond"/>
          <w:b/>
          <w:bCs/>
          <w:sz w:val="22"/>
          <w:szCs w:val="22"/>
        </w:rPr>
        <w:t xml:space="preserve">The Kappa = 0.55 Boundary</w:t>
      </w:r>
    </w:p>
    <w:p>
      <w:pPr>
        <w:spacing w:after="120" w:line="264" w:lineRule="exact"/>
        <w:jc w:val="both"/>
      </w:pPr>
      <w:r>
        <w:rPr>
          <w:rFonts w:ascii="Garamond" w:cs="Garamond" w:eastAsia="Garamond" w:hAnsi="Garamond"/>
          <w:sz w:val="22"/>
          <w:szCs w:val="22"/>
        </w:rPr>
        <w:t xml:space="preserve">At κ = 0.55, the full range of tested λ values (down to λ ≈ 0.015) has not crossed the lower entry boundary. The rate misalignment regime has been identified as the immediate precursor. Whether the lower boundary is crossed at even lower λ, or whether the boundary at κ = 0.55 requires a different approach, remains open. This is the main unmapped high-κ target. Status: open.</w:t>
      </w:r>
    </w:p>
    <w:p>
      <w:pPr>
        <w:spacing w:after="120"/>
      </w:pPr>
      <w:r>
        <w:t xml:space="preserve"/>
      </w:r>
    </w:p>
    <w:p>
      <w:pPr>
        <w:pStyle w:val="Heading2"/>
        <w:spacing w:before="360" w:after="180"/>
      </w:pPr>
      <w:r>
        <w:rPr>
          <w:rFonts w:ascii="Garamond" w:cs="Garamond" w:eastAsia="Garamond" w:hAnsi="Garamond"/>
          <w:b/>
          <w:bCs/>
          <w:sz w:val="26"/>
          <w:szCs w:val="26"/>
        </w:rPr>
        <w:t xml:space="preserve">9.4  Infrastructure Targets</w:t>
      </w:r>
    </w:p>
    <w:p>
      <w:pPr>
        <w:spacing w:after="120" w:line="264" w:lineRule="exact"/>
        <w:jc w:val="both"/>
      </w:pPr>
      <w:r>
        <w:rPr>
          <w:rFonts w:ascii="Garamond" w:cs="Garamond" w:eastAsia="Garamond" w:hAnsi="Garamond"/>
          <w:sz w:val="22"/>
          <w:szCs w:val="22"/>
        </w:rPr>
        <w:t xml:space="preserve">These are necessary preconditions for the simulation targets above.</w:t>
      </w:r>
    </w:p>
    <w:p>
      <w:pPr>
        <w:spacing w:after="120"/>
      </w:pPr>
      <w:r>
        <w:t xml:space="preserve"/>
      </w:r>
    </w:p>
    <w:p>
      <w:pPr>
        <w:pStyle w:val="Heading3"/>
        <w:spacing w:before="240" w:after="120"/>
      </w:pPr>
      <w:r>
        <w:rPr>
          <w:rFonts w:ascii="Garamond" w:cs="Garamond" w:eastAsia="Garamond" w:hAnsi="Garamond"/>
          <w:b/>
          <w:bCs/>
          <w:sz w:val="22"/>
          <w:szCs w:val="22"/>
        </w:rPr>
        <w:t xml:space="preserve">Deep Metrics Activation</w:t>
      </w:r>
    </w:p>
    <w:p>
      <w:pPr>
        <w:spacing w:after="120" w:line="264" w:lineRule="exact"/>
        <w:jc w:val="both"/>
      </w:pPr>
      <w:r>
        <w:rPr>
          <w:rFonts w:ascii="Garamond" w:cs="Garamond" w:eastAsia="Garamond" w:hAnsi="Garamond"/>
          <w:sz w:val="22"/>
          <w:szCs w:val="22"/>
        </w:rPr>
        <w:t xml:space="preserve">The deep metric layer (D_sr_proxy, K_proxy, L_proxy, shelf_thickness_delta_sh, phase_layer_count) is not activating consistently in the rerun pipeline. Shard 2 of the SS3 followup produced the first deep_metrics_ok result. The activation condition — which solver config parameter enables this layer — has not yet been identified. All Phase 5 targets require deep metrics. Status: immediate priority.</w:t>
      </w:r>
    </w:p>
    <w:p>
      <w:pPr>
        <w:spacing w:after="120"/>
      </w:pPr>
      <w:r>
        <w:t xml:space="preserve"/>
      </w:r>
    </w:p>
    <w:p>
      <w:pPr>
        <w:pStyle w:val="Heading3"/>
        <w:spacing w:before="240" w:after="120"/>
      </w:pPr>
      <w:r>
        <w:rPr>
          <w:rFonts w:ascii="Garamond" w:cs="Garamond" w:eastAsia="Garamond" w:hAnsi="Garamond"/>
          <w:b/>
          <w:bCs/>
          <w:sz w:val="22"/>
          <w:szCs w:val="22"/>
        </w:rPr>
        <w:t xml:space="preserve">Sim8 Special Action</w:t>
      </w:r>
    </w:p>
    <w:p>
      <w:pPr>
        <w:spacing w:after="120" w:line="264" w:lineRule="exact"/>
        <w:jc w:val="both"/>
      </w:pPr>
      <w:r>
        <w:rPr>
          <w:rFonts w:ascii="Garamond" w:cs="Garamond" w:eastAsia="Garamond" w:hAnsi="Garamond"/>
          <w:sz w:val="22"/>
          <w:szCs w:val="22"/>
        </w:rPr>
        <w:t xml:space="preserve">The research plan specifies an immediate action upon SS3 verification: compute the full SRC proxy suite (D_sr_proxy, K_proxy) from verified SS3 runs. This closes the longest-standing open measurement in the program. It requires deep metrics enabled. Status: blocked on deep metrics activation.</w:t>
      </w:r>
    </w:p>
    <w:p>
      <w:r>
        <w:br w:type="page"/>
      </w:r>
    </w:p>
    <w:p/>
    <w:p>
      <w:r>
        <w:t>Within this manuscript, the tensor-array material should be cited only as an open-program conjecture. It must not be used to upgrade any empirical claim, to collapse the distinction between Δ and Δ_rel, or to turn provisional holographic shorthand into established ontology. Its proper use is architectural: it records a candidate bridge from residue geometry to orientation, not a completed derivation.</w:t>
      </w:r>
    </w:p>
    <w:p>
      <w:pPr>
        <w:pStyle w:val="Heading3"/>
      </w:pPr>
      <w:r>
        <w:t>Authoring Rule for This Volume</w:t>
      </w:r>
    </w:p>
    <w:p>
      <w:r>
        <w:t>The cheapest first test is analytic. Substitute Ψ → Tr(H)=∇²R into the relevant stability condition and check dimensional consistency, sign consistency, and directional behavior across SS2, SS3, shelf, and R2. If Tr(H) fails, move immediately to an alternate contraction rather than defending the conjecture verbally. The correct status discipline is simple: pass = derived candidate worth sim-level testing; fail = conjecture narrowed or rejected.</w:t>
      </w:r>
    </w:p>
    <w:p>
      <w:pPr>
        <w:pStyle w:val="Heading3"/>
      </w:pPr>
      <w:r>
        <w:t>First Falsification Sequence</w:t>
      </w:r>
    </w:p>
    <w:p>
      <w:r>
        <w:t>This program interfaces directly with three open lines already present in the book. First, it offers a candidate route toward a non-gradient Lyapunov structure by using the eigenvalue spectrum of H as a curvature diagnostic rather than assuming steepest-descent dynamics. Second, it sharpens fold language: the fold becomes a high-curvature constraint region produced by constraint-driven reconfiguration, consistent with the charter’s translation rule. Third, it gives the Chapter 12 alignment condition a computable bridge from narrative orientation language to measurable residue geometry.</w:t>
      </w:r>
    </w:p>
    <w:p>
      <w:pPr>
        <w:pStyle w:val="Heading3"/>
      </w:pPr>
      <w:r>
        <w:t>Relation to Existing Open Questions</w:t>
      </w:r>
    </w:p>
    <w:p>
      <w:r>
        <w:t>Under this conjecture, propagation is re-described as admissible re-orientation under curvature written by prior continuation. Deep constraint basins correspond to high curvature of residue topology and therefore to tighter admissibility of directional change. Flatter regimes correspond to weaker curvature and looser admissibility. The mechanism-level summary is: deep basin → high curvature → stronger constraint; flat region → weak curvature → looser constraint. On this reading, propagation failure is not motion through forbidden space. It is alignment failure against history-written topology, followed by residue writing and re-alignment.</w:t>
      </w:r>
    </w:p>
    <w:p>
      <w:pPr>
        <w:pStyle w:val="Heading3"/>
      </w:pPr>
      <w:r>
        <w:t>Propagation-Limit Consequence [PROVISIONAL]</w:t>
      </w:r>
    </w:p>
    <w:p>
      <w:pPr>
        <w:pStyle w:val="ListBullet"/>
      </w:pPr>
      <w:r>
        <w:t>Gauge relation: any use of holographic language here must be read through the provisional pair Ψ and R_ref, with observable content assigned to Δ_rel and not to absolute phase values.</w:t>
      </w:r>
    </w:p>
    <w:p>
      <w:pPr>
        <w:pStyle w:val="ListBullet"/>
      </w:pPr>
      <w:r>
        <w:t>Parameter separation: γ must remain an independently constrainable term once the Ψ role is replaced by a residue-derived quantity.</w:t>
      </w:r>
    </w:p>
    <w:p>
      <w:pPr>
        <w:pStyle w:val="ListBullet"/>
      </w:pPr>
      <w:r>
        <w:t>Directional behavior: the proxy must tighten the bound near the SS3 upper edge and loosen it deeper inside SS3; a proxy that behaves equally well in R2 is not explanatory enough.</w:t>
      </w:r>
    </w:p>
    <w:p>
      <w:pPr>
        <w:pStyle w:val="ListBullet"/>
      </w:pPr>
      <w:r>
        <w:t>Stability condition: a derived contraction of H must replace Ψ in the Volume II stability inequality without dimension or sign failure.</w:t>
      </w:r>
    </w:p>
    <w:p>
      <w:pPr>
        <w:pStyle w:val="Heading3"/>
      </w:pPr>
      <w:r>
        <w:t>Required Success Conditions</w:t>
      </w:r>
    </w:p>
    <w:p>
      <w:r>
        <w:rPr>
          <w:rFonts w:ascii="Georgia" w:hAnsi="Georgia"/>
          <w:b w:val="0"/>
          <w:i w:val="0"/>
          <w:sz w:val="22"/>
        </w:rPr>
        <w:t xml:space="preserve">Let </w:t>
      </w:r>
      <w:r>
        <w:rPr>
          <w:rFonts w:ascii="Georgia" w:hAnsi="Georgia"/>
          <w:b w:val="0"/>
          <w:i/>
          <w:sz w:val="22"/>
        </w:rPr>
        <w:t>H</w:t>
      </w:r>
      <w:r>
        <w:rPr>
          <w:rFonts w:ascii="Georgia" w:hAnsi="Georgia"/>
          <w:b w:val="0"/>
          <w:i w:val="0"/>
          <w:sz w:val="22"/>
        </w:rPr>
        <w:t xml:space="preserve"> be the Hessian of the residue expression </w:t>
      </w:r>
      <w:r>
        <w:rPr>
          <w:rFonts w:ascii="Georgia" w:hAnsi="Georgia"/>
          <w:b w:val="0"/>
          <w:i/>
          <w:sz w:val="22"/>
        </w:rPr>
        <w:t>R</w:t>
      </w:r>
      <w:r>
        <w:rPr>
          <w:rFonts w:ascii="Georgia" w:hAnsi="Georgia"/>
          <w:b w:val="0"/>
          <w:i w:val="0"/>
          <w:sz w:val="22"/>
        </w:rPr>
        <w:t>: Hᵢⱼ(x,t) = ∂ᵢ∂ⱼR(x,t). Its eigenvectors define principal admissibility directions; its eigenvalues define curvature strengths along those directions. The dominant eigenvector is the candidate local −(i) orientation, while the full Hessian is the candidate tensor array. To replace Ψ operationally, one then tests scalar contractions such as Tr(H)=∇²R, ||H||_F, or λ₁(H) as derived proxies.</w:t>
      </w:r>
    </w:p>
    <w:p>
      <w:pPr>
        <w:pStyle w:val="Heading3"/>
      </w:pPr>
      <w:r>
        <w:t>Candidate Construction</w:t>
      </w:r>
    </w:p>
    <w:p>
      <w:r>
        <w:t>The compliant version of the conjecture is this: the work currently assigned to Ψ may instead be carried by a derived curvature-and-orientation structure extracted from residue, namely a −(i) tensor array defined within each constraint basin. In this formulation, −(i) is not a thing placed in a container. It is the admissibility orientation toward which deviation dissipates under residue-written topology. The tensor array is therefore treated as a derived shorthand for local curvature structure of topology residue, not as a primitive substrate.</w:t>
      </w:r>
    </w:p>
    <w:p>
      <w:pPr>
        <w:pStyle w:val="Heading3"/>
      </w:pPr>
      <w:r>
        <w:t>Compliant Conjecture Form</w:t>
      </w:r>
    </w:p>
    <w:p>
      <w:r>
        <w:t>The motivating problem is structural rather than merely terminological. In the Volume II line of argument, Ψ appears in multiple roles: stability, parameter reduction, and cosmological correspondence. When γ and Ψ appear mainly through the ratio γ/Ψ, the framework inherits an unresolved degree of freedom. In parallel, writing Ψ as a primitive scalar field conflicts with the charter requirement that explanatory terms reduce to process expressions rather than substance-like objects or values assigned to locations.</w:t>
      </w:r>
    </w:p>
    <w:p>
      <w:pPr>
        <w:pStyle w:val="Heading3"/>
      </w:pPr>
      <w:r>
        <w:t>Problem Statement</w:t>
      </w:r>
    </w:p>
    <w:p>
      <w:r>
        <w:rPr>
          <w:rFonts w:ascii="Georgia" w:hAnsi="Georgia"/>
          <w:b/>
          <w:i w:val="0"/>
          <w:sz w:val="22"/>
        </w:rPr>
        <w:t xml:space="preserve">Claim class: </w:t>
      </w:r>
      <w:r>
        <w:rPr>
          <w:rFonts w:ascii="Georgia" w:hAnsi="Georgia"/>
          <w:b w:val="0"/>
          <w:i w:val="0"/>
          <w:sz w:val="22"/>
        </w:rPr>
        <w:t xml:space="preserve">[PROVISIONAL — no derivation, no verification]. </w:t>
      </w:r>
      <w:r>
        <w:rPr>
          <w:rFonts w:ascii="Georgia" w:hAnsi="Georgia"/>
          <w:b/>
          <w:i w:val="0"/>
          <w:sz w:val="22"/>
        </w:rPr>
        <w:t xml:space="preserve">Document role: </w:t>
      </w:r>
      <w:r>
        <w:rPr>
          <w:rFonts w:ascii="Georgia" w:hAnsi="Georgia"/>
          <w:b w:val="0"/>
          <w:i w:val="0"/>
          <w:sz w:val="22"/>
        </w:rPr>
        <w:t xml:space="preserve">open-program insertion, not empirical record. </w:t>
      </w:r>
      <w:r>
        <w:rPr>
          <w:rFonts w:ascii="Georgia" w:hAnsi="Georgia"/>
          <w:b/>
          <w:i w:val="0"/>
          <w:sz w:val="22"/>
        </w:rPr>
        <w:t xml:space="preserve">Compliance note: </w:t>
      </w:r>
      <w:r>
        <w:rPr>
          <w:rFonts w:ascii="Georgia" w:hAnsi="Georgia"/>
          <w:b w:val="0"/>
          <w:i w:val="0"/>
          <w:sz w:val="22"/>
        </w:rPr>
        <w:t>all holographic references in this section remain tied to sim23-pending terminology, and no bare field-language is used.</w:t>
      </w:r>
    </w:p>
    <w:p>
      <w:pPr>
        <w:pStyle w:val="Heading3"/>
      </w:pPr>
      <w:r>
        <w:t>Status Register</w:t>
      </w:r>
    </w:p>
    <w:p>
      <w:r>
        <w:t>This section integrates the April 2026 tensor-array note into the forward program of this volume. Its status is strictly provisional. Nothing in this section is a verified empirical result, and nothing here closes the open derivations already recorded elsewhere in the volume.</w:t>
      </w:r>
    </w:p>
    <w:p>
      <w:pPr>
        <w:pStyle w:val="Heading2"/>
      </w:pPr>
      <w:r>
        <w:t>9.5  The −(i) Tensor Array Conjecture as a Ψ-Replacement Program</w:t>
      </w:r>
    </w:p>
    <w:p>
      <w:pPr>
        <w:spacing w:before="720" w:after="120"/>
      </w:pPr>
      <w:r>
        <w:rPr>
          <w:rFonts w:ascii="Garamond" w:cs="Garamond" w:eastAsia="Garamond" w:hAnsi="Garamond"/>
          <w:color w:val="888888"/>
          <w:sz w:val="22"/>
          <w:szCs w:val="22"/>
        </w:rPr>
        <w:t xml:space="preserve">Chapter 17</w:t>
      </w:r>
    </w:p>
    <w:p>
      <w:pPr>
        <w:pStyle w:val="Heading1"/>
        <w:spacing w:before="0" w:after="120"/>
      </w:pPr>
      <w:r>
        <w:rPr>
          <w:rFonts w:ascii="Garamond" w:cs="Garamond" w:eastAsia="Garamond" w:hAnsi="Garamond"/>
          <w:b/>
          <w:bCs/>
          <w:sz w:val="36"/>
          <w:szCs w:val="36"/>
        </w:rPr>
        <w:t xml:space="preserve">The Analog Engine Correspondence</w:t>
      </w:r>
    </w:p>
    <w:p>
      <w:pPr>
        <w:spacing w:before="0" w:after="480"/>
      </w:pPr>
      <w:r>
        <w:rPr>
          <w:rFonts w:ascii="Garamond" w:cs="Garamond" w:eastAsia="Garamond" w:hAnsi="Garamond"/>
          <w:i/>
          <w:iCs/>
          <w:sz w:val="24"/>
          <w:szCs w:val="24"/>
        </w:rPr>
        <w:t xml:space="preserve">An AVX2 Integrator Network as Process-Dynamic Substrate</w:t>
      </w:r>
    </w:p>
    <w:p>
      <w:pPr>
        <w:spacing w:after="120" w:line="264" w:lineRule="exact"/>
        <w:jc w:val="both"/>
      </w:pPr>
      <w:r>
        <w:rPr>
          <w:rFonts w:ascii="Garamond" w:cs="Garamond" w:eastAsia="Garamond" w:hAnsi="Garamond"/>
          <w:sz w:val="22"/>
          <w:szCs w:val="22"/>
        </w:rPr>
        <w:t xml:space="preserve">The ε–ρ–R simulation runs a numerical PDE solver on a digital computer. Separately, a high-performance AVX2 integrator network has been developed as an analog computer substrate for MPF dynamics. This chapter records the current state of correspondence between the two programs.</w:t>
      </w:r>
    </w:p>
    <w:p>
      <w:pPr>
        <w:spacing w:after="120"/>
      </w:pPr>
      <w:r>
        <w:t xml:space="preserve"/>
      </w:r>
    </w:p>
    <w:p>
      <w:pPr>
        <w:pStyle w:val="Heading2"/>
        <w:spacing w:before="360" w:after="180"/>
      </w:pPr>
      <w:r>
        <w:rPr>
          <w:rFonts w:ascii="Garamond" w:cs="Garamond" w:eastAsia="Garamond" w:hAnsi="Garamond"/>
          <w:b/>
          <w:bCs/>
          <w:sz w:val="26"/>
          <w:szCs w:val="26"/>
        </w:rPr>
        <w:t xml:space="preserve">10.1  The Analog Computer Substrate</w:t>
      </w:r>
    </w:p>
    <w:p>
      <w:pPr>
        <w:spacing w:after="120" w:line="264" w:lineRule="exact"/>
        <w:jc w:val="both"/>
      </w:pPr>
      <w:r>
        <w:rPr>
          <w:rFonts w:ascii="Garamond" w:cs="Garamond" w:eastAsia="Garamond" w:hAnsi="Garamond"/>
          <w:sz w:val="22"/>
          <w:szCs w:val="22"/>
        </w:rPr>
        <w:t xml:space="preserve">A classical analog computer does not process discrete samples. It maintains continuous physical states (in this case, floating-point integrator states) that evolve according to wired relationships. The computation is the state itself at any moment. The key primitives are integrators, summers, multipliers, and function generators.</w:t>
      </w:r>
    </w:p>
    <w:p>
      <w:pPr>
        <w:spacing w:after="120"/>
      </w:pPr>
      <w:r>
        <w:t xml:space="preserve"/>
      </w:r>
    </w:p>
    <w:p>
      <w:pPr>
        <w:spacing w:after="120" w:line="264" w:lineRule="exact"/>
        <w:jc w:val="both"/>
      </w:pPr>
      <w:r>
        <w:rPr>
          <w:rFonts w:ascii="Garamond" w:cs="Garamond" w:eastAsia="Garamond" w:hAnsi="Garamond"/>
          <w:sz w:val="22"/>
          <w:szCs w:val="22"/>
        </w:rPr>
        <w:t xml:space="preserve">The AVX2 engine node topology is: amplify (input × control signal) → integrate (Euler method at 48kHz dt) → spectral shaper (nonlinear function generator) → feedback (integrator state × feedback_gain) → output clamp (±10V rail). The integrator uses a leakage term of ×0.999999 per step, which is functionally equivalent to a capacitor with a leakage resistor. The leakage creates an asymptotic approach toward zero that never reaches zero.</w:t>
      </w:r>
    </w:p>
    <w:p>
      <w:pPr>
        <w:spacing w:after="120"/>
      </w:pPr>
      <w:r>
        <w:t xml:space="preserve"/>
      </w:r>
    </w:p>
    <w:p>
      <w:pPr>
        <w:spacing w:after="120" w:line="264" w:lineRule="exact"/>
        <w:jc w:val="both"/>
      </w:pPr>
      <w:r>
        <w:rPr>
          <w:rFonts w:ascii="Garamond" w:cs="Garamond" w:eastAsia="Garamond" w:hAnsi="Garamond"/>
          <w:sz w:val="22"/>
          <w:szCs w:val="22"/>
        </w:rPr>
        <w:t xml:space="preserve">The leakage term is ontologically correct. ×0.999999 is the analog engine's implementation of the NOT axiom's vacuum floor: integrator states approach but never reach zero, implementing the constraint that no true zero state exists. This was not designed in; it is simply what a physically realistic integrator does. The engine's rest state is minimum admissible continuation, which is exactly what SS2 is in the PDE system.</w:t>
      </w:r>
    </w:p>
    <w:p>
      <w:pPr>
        <w:spacing w:after="120"/>
      </w:pPr>
      <w:r>
        <w:t xml:space="preserve"/>
      </w:r>
    </w:p>
    <w:p>
      <w:pPr>
        <w:pStyle w:val="Heading2"/>
        <w:spacing w:before="360" w:after="180"/>
      </w:pPr>
      <w:r>
        <w:rPr>
          <w:rFonts w:ascii="Garamond" w:cs="Garamond" w:eastAsia="Garamond" w:hAnsi="Garamond"/>
          <w:b/>
          <w:bCs/>
          <w:sz w:val="26"/>
          <w:szCs w:val="26"/>
        </w:rPr>
        <w:t xml:space="preserve">10.2  The Three Analog Attractors</w:t>
      </w:r>
    </w:p>
    <w:p>
      <w:pPr>
        <w:spacing w:after="120" w:line="264" w:lineRule="exact"/>
        <w:jc w:val="both"/>
      </w:pPr>
      <w:r>
        <w:rPr>
          <w:rFonts w:ascii="Garamond" w:cs="Garamond" w:eastAsia="Garamond" w:hAnsi="Garamond"/>
          <w:sz w:val="22"/>
          <w:szCs w:val="22"/>
        </w:rPr>
        <w:t xml:space="preserve">The engine has three stable operating points corresponding to the three PDE anchor regimes.</w:t>
      </w:r>
    </w:p>
    <w:p>
      <w:pPr>
        <w:spacing w:after="120"/>
      </w:pPr>
      <w:r>
        <w:t xml:space="preserve"/>
      </w:r>
    </w:p>
    <w:p>
      <w:pPr>
        <w:spacing w:after="120" w:line="264" w:lineRule="exact"/>
        <w:jc w:val="both"/>
      </w:pPr>
      <w:r>
        <w:rPr>
          <w:rFonts w:ascii="Garamond" w:cs="Garamond" w:eastAsia="Garamond" w:hAnsi="Garamond"/>
          <w:sz w:val="22"/>
          <w:szCs w:val="22"/>
        </w:rPr>
        <w:t xml:space="preserve">At feedback_gain = −1 with noise_level = 0.001, the engine produces SS2_analog: the integrator state drains to the leakage floor, output approaches zero, no spatial structure. This corresponds to Π = 0.002 in the PDE: alignment-dominant, the process sustains without exclusion.</w:t>
      </w:r>
    </w:p>
    <w:p>
      <w:pPr>
        <w:spacing w:after="120"/>
      </w:pPr>
      <w:r>
        <w:t xml:space="preserve"/>
      </w:r>
    </w:p>
    <w:p>
      <w:pPr>
        <w:spacing w:after="120" w:line="264" w:lineRule="exact"/>
        <w:jc w:val="both"/>
      </w:pPr>
      <w:r>
        <w:rPr>
          <w:rFonts w:ascii="Garamond" w:cs="Garamond" w:eastAsia="Garamond" w:hAnsi="Garamond"/>
          <w:sz w:val="22"/>
          <w:szCs w:val="22"/>
        </w:rPr>
        <w:t xml:space="preserve">At feedback_gain = 0 with noise_level = 0.001, the engine produces SS3_analog: one spatial interface is maintained at long horizon, integrator states are bimodal across the node array, exclusion fraction is intermediate. This required the addition of state-dependent coupling to achieve long-horizon stability (discussed in Section 10.3).</w:t>
      </w:r>
    </w:p>
    <w:p>
      <w:pPr>
        <w:spacing w:after="120"/>
      </w:pPr>
      <w:r>
        <w:t xml:space="preserve"/>
      </w:r>
    </w:p>
    <w:p>
      <w:pPr>
        <w:spacing w:after="120" w:line="264" w:lineRule="exact"/>
        <w:jc w:val="both"/>
      </w:pPr>
      <w:r>
        <w:rPr>
          <w:rFonts w:ascii="Garamond" w:cs="Garamond" w:eastAsia="Garamond" w:hAnsi="Garamond"/>
          <w:sz w:val="22"/>
          <w:szCs w:val="22"/>
        </w:rPr>
        <w:t xml:space="preserve">At feedback_gain = +1 with noise_level = 0.001, the engine produces R2_analog: integrator states race to the ±10V rail clamp, exclusion fraction approaches 1.0, no surviving interface. This corresponds to Π = 5.5: exclusion-dominant.</w:t>
      </w:r>
    </w:p>
    <w:p>
      <w:pPr>
        <w:spacing w:after="120"/>
      </w:pPr>
      <w:r>
        <w:t xml:space="preserve"/>
      </w:r>
    </w:p>
    <w:p>
      <w:pPr>
        <w:pStyle w:val="Heading2"/>
        <w:spacing w:before="360" w:after="180"/>
      </w:pPr>
      <w:r>
        <w:rPr>
          <w:rFonts w:ascii="Garamond" w:cs="Garamond" w:eastAsia="Garamond" w:hAnsi="Garamond"/>
          <w:b/>
          <w:bCs/>
          <w:sz w:val="26"/>
          <w:szCs w:val="26"/>
        </w:rPr>
        <w:t xml:space="preserve">10.3  The Long-Horizon Stability Problem and CSI Coupling</w:t>
      </w:r>
    </w:p>
    <w:p>
      <w:pPr>
        <w:spacing w:after="120" w:line="264" w:lineRule="exact"/>
        <w:jc w:val="both"/>
      </w:pPr>
      <w:r>
        <w:rPr>
          <w:rFonts w:ascii="Garamond" w:cs="Garamond" w:eastAsia="Garamond" w:hAnsi="Garamond"/>
          <w:sz w:val="22"/>
          <w:szCs w:val="22"/>
        </w:rPr>
        <w:t xml:space="preserve">In early testing, the SS3_analog produced by the engine at feedback_gain = 0 was not long-horizon stable. At 8192 steps, the engine showed SS3_analog. At 32768 steps, the same operating point collapsed to R2_analog. The engine had no mechanism to hold itself at the balance point.</w:t>
      </w:r>
    </w:p>
    <w:p>
      <w:pPr>
        <w:spacing w:after="120"/>
      </w:pPr>
      <w:r>
        <w:t xml:space="preserve"/>
      </w:r>
    </w:p>
    <w:p>
      <w:pPr>
        <w:spacing w:after="120" w:line="264" w:lineRule="exact"/>
        <w:jc w:val="both"/>
      </w:pPr>
      <w:r>
        <w:rPr>
          <w:rFonts w:ascii="Garamond" w:cs="Garamond" w:eastAsia="Garamond" w:hAnsi="Garamond"/>
          <w:sz w:val="22"/>
          <w:szCs w:val="22"/>
        </w:rPr>
        <w:t xml:space="preserve">The physical reason is that at feedback_gain = 0, the only restoring force is the leakage term, which is extremely weak (×0.999999 per step, decay time constant ∼20 seconds at 48kHz). The spectral boost from the nonlinear function generator always pushes positive. Over long horizons, the positive push accumulates faster than the leakage dissipates it, and the integrator drifts toward the rail.</w:t>
      </w:r>
    </w:p>
    <w:p>
      <w:pPr>
        <w:spacing w:after="120"/>
      </w:pPr>
      <w:r>
        <w:t xml:space="preserve"/>
      </w:r>
    </w:p>
    <w:p>
      <w:pPr>
        <w:spacing w:after="120" w:line="264" w:lineRule="exact"/>
        <w:jc w:val="both"/>
      </w:pPr>
      <w:r>
        <w:rPr>
          <w:rFonts w:ascii="Garamond" w:cs="Garamond" w:eastAsia="Garamond" w:hAnsi="Garamond"/>
          <w:sz w:val="22"/>
          <w:szCs w:val="22"/>
        </w:rPr>
        <w:t xml:space="preserve">The fix was state-dependent coupling: coupling weights between nodes made proportional to the alignment between each node's integrator state and its basin center. Nodes near their basin center couple at full strength. Nodes far from their basin center have contracted coupling. This creates a spatial restoring mechanism: nodes that drift toward the rail lose coupling influence on their neighbors, and the interface is reinforced by the high-coupling nodes near the balance point.</w:t>
      </w:r>
    </w:p>
    <w:p>
      <w:pPr>
        <w:spacing w:after="120"/>
      </w:pPr>
      <w:r>
        <w:t xml:space="preserve"/>
      </w:r>
    </w:p>
    <w:p>
      <w:pPr>
        <w:spacing w:after="120" w:line="264" w:lineRule="exact"/>
        <w:jc w:val="both"/>
      </w:pPr>
      <w:r>
        <w:rPr>
          <w:rFonts w:ascii="Garamond" w:cs="Garamond" w:eastAsia="Garamond" w:hAnsi="Garamond"/>
          <w:sz w:val="22"/>
          <w:szCs w:val="22"/>
        </w:rPr>
        <w:t xml:space="preserve">This is the analog engine's implementation of the PDE's spatial balance mechanism. In the PDE, the SS3 interface is maintained because the spatial coupling creates opposing pressures from both sides. In the engine, the state-dependent coupling creates an equivalent mechanism: the interface location is self-reinforcing because the nodes near the balance point have the strongest spatial influence.</w:t>
      </w:r>
    </w:p>
    <w:p>
      <w:pPr>
        <w:spacing w:after="120"/>
      </w:pPr>
      <w:r>
        <w:t xml:space="preserve"/>
      </w:r>
    </w:p>
    <w:p>
      <w:pPr>
        <w:pStyle w:val="Heading2"/>
        <w:spacing w:before="360" w:after="180"/>
      </w:pPr>
      <w:r>
        <w:rPr>
          <w:rFonts w:ascii="Garamond" w:cs="Garamond" w:eastAsia="Garamond" w:hAnsi="Garamond"/>
          <w:b/>
          <w:bCs/>
          <w:sz w:val="26"/>
          <w:szCs w:val="26"/>
        </w:rPr>
        <w:t xml:space="preserve">10.4  Current Correspondence State</w:t>
      </w:r>
    </w:p>
    <w:p>
      <w:pPr>
        <w:spacing w:after="120" w:line="264" w:lineRule="exact"/>
        <w:jc w:val="both"/>
      </w:pPr>
      <w:r>
        <w:rPr>
          <w:rFonts w:ascii="Garamond" w:cs="Garamond" w:eastAsia="Garamond" w:hAnsi="Garamond"/>
          <w:sz w:val="22"/>
          <w:szCs w:val="22"/>
        </w:rPr>
        <w:t xml:space="preserve">The current correspondence between the analog engine and the PDE system is partial but genuine.</w:t>
      </w:r>
    </w:p>
    <w:p>
      <w:pPr>
        <w:spacing w:after="120"/>
      </w:pPr>
      <w:r>
        <w:t xml:space="preserve"/>
      </w:r>
    </w:p>
    <w:p>
      <w:pPr>
        <w:spacing w:after="120" w:line="264" w:lineRule="exact"/>
        <w:jc w:val="both"/>
      </w:pPr>
      <w:r>
        <w:rPr>
          <w:rFonts w:ascii="Garamond" w:cs="Garamond" w:eastAsia="Garamond" w:hAnsi="Garamond"/>
          <w:sz w:val="22"/>
          <w:szCs w:val="22"/>
        </w:rPr>
        <w:t xml:space="preserve">At the coarse anchor level, the correspondence is verified. The anchored MPF mapping — Π → feedback_gain via piecewise log10(Π) — reproduces SS2_analog, SS3_analog, and R2_analog at the three anchor parameter points across 4 seeds at 8192 steps.</w:t>
      </w:r>
    </w:p>
    <w:p>
      <w:pPr>
        <w:spacing w:after="120"/>
      </w:pPr>
      <w:r>
        <w:t xml:space="preserve"/>
      </w:r>
    </w:p>
    <w:p>
      <w:pPr>
        <w:spacing w:after="120" w:line="264" w:lineRule="exact"/>
        <w:jc w:val="both"/>
      </w:pPr>
      <w:r>
        <w:rPr>
          <w:rFonts w:ascii="Garamond" w:cs="Garamond" w:eastAsia="Garamond" w:hAnsi="Garamond"/>
          <w:sz w:val="22"/>
          <w:szCs w:val="22"/>
        </w:rPr>
        <w:t xml:space="preserve">At the local surface level, the engine shows a shelf-adjacent local topology around the SS3_analog center point: a narrow SS3 backbone surrounded by a dominant shelf corridor. This is qualitatively consistent with the PDE five-layer shelf geometry but not yet quantitatively comparable.</w:t>
      </w:r>
    </w:p>
    <w:p>
      <w:pPr>
        <w:spacing w:after="120"/>
      </w:pPr>
      <w:r>
        <w:t xml:space="preserve"/>
      </w:r>
    </w:p>
    <w:p>
      <w:pPr>
        <w:spacing w:after="120" w:line="264" w:lineRule="exact"/>
        <w:jc w:val="both"/>
      </w:pPr>
      <w:r>
        <w:rPr>
          <w:rFonts w:ascii="Garamond" w:cs="Garamond" w:eastAsia="Garamond" w:hAnsi="Garamond"/>
          <w:sz w:val="22"/>
          <w:szCs w:val="22"/>
        </w:rPr>
        <w:t xml:space="preserve">The global surface geometry is not yet reproduced. The PDE band at κ = 0.10 spans λ = 0.088 to 0.574. The engine shows a much narrower effective SS3 corridor. The difference is partly architectural (64-node engine vs 1024-point PDE grid) and partly parametric (the band width scaling with node count has not been calibrated).</w:t>
      </w:r>
    </w:p>
    <w:p>
      <w:pPr>
        <w:spacing w:after="120"/>
      </w:pPr>
      <w:r>
        <w:t xml:space="preserve"/>
      </w:r>
    </w:p>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2E75B6" w:sz="8"/>
              <w:left w:val="single" w:color="2E75B6" w:sz="8"/>
              <w:bottom w:val="single" w:color="2E75B6" w:sz="8"/>
              <w:right w:val="single" w:color="2E75B6" w:sz="8"/>
            </w:tcBorders>
            <w:shd w:fill="2E75B6" w:val="clear"/>
            <w:tcMar>
              <w:top w:type="dxa" w:w="60"/>
              <w:left w:type="dxa" w:w="120"/>
              <w:bottom w:type="dxa" w:w="60"/>
              <w:right w:type="dxa" w:w="120"/>
            </w:tcMar>
          </w:tcPr>
          <w:p>
            <w:r>
              <w:rPr>
                <w:rFonts w:ascii="Garamond" w:cs="Garamond" w:eastAsia="Garamond" w:hAnsi="Garamond"/>
                <w:b/>
                <w:bCs/>
                <w:color w:val="FFFFFF"/>
                <w:sz w:val="20"/>
                <w:szCs w:val="20"/>
              </w:rPr>
              <w:t xml:space="preserve">Result</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Analog engine: three-point anchor correspondence verified at 8192 steps</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SS3_analog long-horizon stability restored after state-dependent CSI coupling</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Shelf-adjacent local topology confirmed in engine neighborhood sweep</w:t>
            </w:r>
          </w:p>
        </w:tc>
      </w:tr>
      <w:tr>
        <w:tc>
          <w:tcPr>
            <w:tcW w:type="dxa" w:w="5472"/>
            <w:tcBorders>
              <w:top w:val="single" w:color="2E75B6" w:sz="8"/>
              <w:left w:val="single" w:color="2E75B6" w:sz="8"/>
              <w:bottom w:val="single" w:color="2E75B6" w:sz="8"/>
              <w:right w:val="single" w:color="2E75B6" w:sz="8"/>
            </w:tcBorders>
            <w:shd w:fill="D6E4F0"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Current correspondence: qualitative at anchor level, not yet quantitative for surface geometry</w:t>
            </w:r>
          </w:p>
        </w:tc>
      </w:tr>
    </w:tbl>
    <w:tbl>
      <w:tblPr>
        <w:tblW w:type="dxa" w:w="5472"/>
        <w:tblBorders>
          <w:top w:val="single" w:color="auto" w:sz="4"/>
          <w:left w:val="single" w:color="auto" w:sz="4"/>
          <w:bottom w:val="single" w:color="auto" w:sz="4"/>
          <w:right w:val="single" w:color="auto" w:sz="4"/>
          <w:insideH w:val="single" w:color="auto" w:sz="4"/>
          <w:insideV w:val="single" w:color="auto" w:sz="4"/>
        </w:tblBorders>
      </w:tblPr>
      <w:tblGrid>
        <w:gridCol w:w="5472"/>
      </w:tblGrid>
      <w:tr>
        <w:tc>
          <w:tcPr>
            <w:tcW w:type="dxa" w:w="5472"/>
            <w:tcBorders>
              <w:top w:val="single" w:color="C49A00" w:sz="8"/>
              <w:left w:val="single" w:color="C49A00" w:sz="8"/>
              <w:bottom w:val="single" w:color="C49A00" w:sz="8"/>
              <w:right w:val="single" w:color="C49A00" w:sz="8"/>
            </w:tcBorders>
            <w:shd w:fill="C49A00" w:val="clear"/>
            <w:tcMar>
              <w:top w:type="dxa" w:w="60"/>
              <w:left w:type="dxa" w:w="120"/>
              <w:bottom w:type="dxa" w:w="60"/>
              <w:right w:type="dxa" w:w="120"/>
            </w:tcMar>
          </w:tcPr>
          <w:p>
            <w:r>
              <w:rPr>
                <w:rFonts w:ascii="Garamond" w:cs="Garamond" w:eastAsia="Garamond" w:hAnsi="Garamond"/>
                <w:b/>
                <w:bCs/>
                <w:color w:val="FFFFFF"/>
                <w:sz w:val="20"/>
                <w:szCs w:val="20"/>
              </w:rPr>
              <w:t xml:space="preserve">Limit / Open</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Global surface geometry not yet reproduced in analog engine</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Band width scaling with node count not yet calibrated</w:t>
            </w:r>
          </w:p>
        </w:tc>
      </w:tr>
      <w:tr>
        <w:tc>
          <w:tcPr>
            <w:tcW w:type="dxa" w:w="5472"/>
            <w:tcBorders>
              <w:top w:val="single" w:color="C49A00" w:sz="8"/>
              <w:left w:val="single" w:color="C49A00" w:sz="8"/>
              <w:bottom w:val="single" w:color="C49A00" w:sz="8"/>
              <w:right w:val="single" w:color="C49A00" w:sz="8"/>
            </w:tcBorders>
            <w:shd w:fill="FFF3CD" w:val="clear"/>
            <w:tcMar>
              <w:top w:type="dxa" w:w="60"/>
              <w:left w:type="dxa" w:w="120"/>
              <w:bottom w:type="dxa" w:w="60"/>
              <w:right w:type="dxa" w:w="120"/>
            </w:tcMar>
          </w:tcPr>
          <w:p>
            <w:pPr>
              <w:spacing w:after="60" w:line="240" w:lineRule="exact"/>
            </w:pPr>
            <w:r>
              <w:rPr>
                <w:rFonts w:ascii="Garamond" w:cs="Garamond" w:eastAsia="Garamond" w:hAnsi="Garamond"/>
                <w:sz w:val="20"/>
                <w:szCs w:val="20"/>
              </w:rPr>
              <w:t xml:space="preserve">Full quantitative equivalence not claimed</w:t>
            </w:r>
          </w:p>
        </w:tc>
      </w:tr>
    </w:tbl>
    <w:p>
      <w:pPr>
        <w:pageBreakBefore/>
      </w:pPr>
      <w:r>
        <w:t xml:space="preserve"/>
      </w:r>
    </w:p>
    <w:p>
      <w:pPr>
        <w:spacing w:before="480" w:after="360"/>
      </w:pPr>
      <w:r>
        <w:rPr>
          <w:rFonts w:ascii="Garamond" w:cs="Garamond" w:eastAsia="Garamond" w:hAnsi="Garamond"/>
          <w:b/>
          <w:bCs/>
          <w:sz w:val="36"/>
          <w:szCs w:val="36"/>
        </w:rPr>
        <w:t xml:space="preserve">Appendix A: Compliance Record</w:t>
      </w:r>
    </w:p>
    <w:p>
      <w:pPr>
        <w:spacing w:after="120" w:line="264" w:lineRule="exact"/>
        <w:jc w:val="both"/>
      </w:pPr>
      <w:r>
        <w:rPr>
          <w:rFonts w:ascii="Garamond" w:cs="Garamond" w:eastAsia="Garamond" w:hAnsi="Garamond"/>
          <w:sz w:val="22"/>
          <w:szCs w:val="22"/>
        </w:rPr>
        <w:t xml:space="preserve">The following terms introduced or used in this volume are assessed for compliance with the SPM Compliance Charter v2.3. Each entry states the translation index mapping where available, compliance level (L0–L4), and status. Terms carried forward from prior compliance records without change are noted as such.</w:t>
      </w:r>
    </w:p>
    <w:p>
      <w:pPr>
        <w:spacing w:after="120"/>
      </w:pPr>
      <w:r>
        <w:t xml:space="preserve"/>
      </w:r>
    </w:p>
    <w:p>
      <w:pPr>
        <w:pStyle w:val="Heading2"/>
        <w:spacing w:before="360" w:after="180"/>
      </w:pPr>
      <w:r>
        <w:rPr>
          <w:rFonts w:ascii="Garamond" w:cs="Garamond" w:eastAsia="Garamond" w:hAnsi="Garamond"/>
          <w:b/>
          <w:bCs/>
          <w:sz w:val="26"/>
          <w:szCs w:val="26"/>
        </w:rPr>
        <w:t xml:space="preserve">Core Simulation Terms</w:t>
      </w:r>
    </w:p>
    <w:p>
      <w:pPr>
        <w:spacing w:after="120" w:line="264" w:lineRule="exact"/>
        <w:jc w:val="both"/>
      </w:pPr>
      <w:r>
        <w:rPr>
          <w:rFonts w:ascii="Garamond" w:cs="Garamond" w:eastAsia="Garamond" w:hAnsi="Garamond"/>
          <w:sz w:val="22"/>
          <w:szCs w:val="22"/>
        </w:rPr>
        <w:t xml:space="preserve">Deviation / phase mismatch — L3 — compliant as verb construction. Translation: phase_mismatch_or_inadmissibility_measure. Must appear as verb or gerund form. Non-compliant forms: deviation diverges, deviation reservoir, deviation as magnitude.</w:t>
      </w:r>
    </w:p>
    <w:p>
      <w:pPr>
        <w:spacing w:after="120"/>
      </w:pPr>
      <w:r>
        <w:t xml:space="preserve"/>
      </w:r>
    </w:p>
    <w:p>
      <w:pPr>
        <w:spacing w:after="120" w:line="264" w:lineRule="exact"/>
        <w:jc w:val="both"/>
      </w:pPr>
      <w:r>
        <w:rPr>
          <w:rFonts w:ascii="Garamond" w:cs="Garamond" w:eastAsia="Garamond" w:hAnsi="Garamond"/>
          <w:sz w:val="22"/>
          <w:szCs w:val="22"/>
        </w:rPr>
        <w:t>Exclusion / exclusion expression — L3 — compliant. Translation: operational_expression_of_NOT_axiom. Names the local rate at which continuation fails the phase alignment condition. Verb rewrite: continuation failing to maintain admissibility at this locally coupled continuation regime.</w:t>
      </w:r>
    </w:p>
    <w:p>
      <w:pPr>
        <w:spacing w:after="120"/>
      </w:pPr>
      <w:r>
        <w:t xml:space="preserve"/>
      </w:r>
    </w:p>
    <w:p>
      <w:pPr>
        <w:spacing w:after="120" w:line="264" w:lineRule="exact"/>
        <w:jc w:val="both"/>
      </w:pPr>
      <w:r>
        <w:rPr>
          <w:rFonts w:ascii="Garamond" w:cs="Garamond" w:eastAsia="Garamond" w:hAnsi="Garamond"/>
          <w:sz w:val="22"/>
          <w:szCs w:val="22"/>
        </w:rPr>
        <w:t xml:space="preserve">Continuation-sustaining expression — L3 — compliant. Names the local capacity for admissible process continuation. No object, substance, or container assumption.</w:t>
      </w:r>
    </w:p>
    <w:p>
      <w:pPr>
        <w:spacing w:after="120"/>
      </w:pPr>
      <w:r>
        <w:t xml:space="preserve"/>
      </w:r>
    </w:p>
    <w:p>
      <w:pPr>
        <w:spacing w:after="120" w:line="264" w:lineRule="exact"/>
        <w:jc w:val="both"/>
      </w:pPr>
      <w:r>
        <w:rPr>
          <w:rFonts w:ascii="Garamond" w:cs="Garamond" w:eastAsia="Garamond" w:hAnsi="Garamond"/>
          <w:sz w:val="22"/>
          <w:szCs w:val="22"/>
        </w:rPr>
        <w:t xml:space="preserve">Residue / accumulated residue — L3 — compliant as derived shorthand. Translation: constraint_topology_written_by_prior_exclusion. Verb rewrite: exclusion events writing constraint structure that persists and modulates future continuation.</w:t>
      </w:r>
    </w:p>
    <w:p>
      <w:pPr>
        <w:spacing w:after="120"/>
      </w:pPr>
      <w:r>
        <w:t xml:space="preserve"/>
      </w:r>
    </w:p>
    <w:p>
      <w:pPr>
        <w:spacing w:after="120" w:line="264" w:lineRule="exact"/>
        <w:jc w:val="both"/>
      </w:pPr>
      <w:r>
        <w:rPr>
          <w:rFonts w:ascii="Garamond" w:cs="Garamond" w:eastAsia="Garamond" w:hAnsi="Garamond"/>
          <w:sz w:val="22"/>
          <w:szCs w:val="22"/>
        </w:rPr>
        <w:t xml:space="preserve">Topology-writing rate (κ) — L3 — compliant. Names the rate at which exclusion events write constraint structure. Not a rate of object creation. Verb rewrite: the rate at which exclusion events produce constraint residue.</w:t>
      </w:r>
    </w:p>
    <w:p>
      <w:pPr>
        <w:spacing w:after="120"/>
      </w:pPr>
      <w:r>
        <w:t xml:space="preserve"/>
      </w:r>
    </w:p>
    <w:p>
      <w:pPr>
        <w:spacing w:after="120" w:line="264" w:lineRule="exact"/>
        <w:jc w:val="both"/>
      </w:pPr>
      <w:r>
        <w:rPr>
          <w:rFonts w:ascii="Garamond" w:cs="Garamond" w:eastAsia="Garamond" w:hAnsi="Garamond"/>
          <w:sz w:val="22"/>
          <w:szCs w:val="22"/>
        </w:rPr>
        <w:t xml:space="preserve">Topology-persistence parameter (λ) — L3 — compliant. Names the rate at which constraint residue decays. Distinct from operational exclusion rate k. Verb rewrite: the rate at which written constraint structure dissipates.</w:t>
      </w:r>
    </w:p>
    <w:p>
      <w:pPr>
        <w:spacing w:after="120"/>
      </w:pPr>
      <w:r>
        <w:t xml:space="preserve"/>
      </w:r>
    </w:p>
    <w:p>
      <w:pPr>
        <w:spacing w:after="120" w:line="264" w:lineRule="exact"/>
        <w:jc w:val="both"/>
      </w:pPr>
      <w:r>
        <w:rPr>
          <w:rFonts w:ascii="Garamond" w:cs="Garamond" w:eastAsia="Garamond" w:hAnsi="Garamond"/>
          <w:sz w:val="22"/>
          <w:szCs w:val="22"/>
        </w:rPr>
        <w:t xml:space="preserve">Inscription dominance (Π = κ/λ) — L3 — compliant as derived ratio. Encodes the balance between constraint-writing and constraint-decay rates.</w:t>
      </w:r>
    </w:p>
    <w:p>
      <w:pPr>
        <w:spacing w:after="120"/>
      </w:pPr>
      <w:r>
        <w:t xml:space="preserve"/>
      </w:r>
    </w:p>
    <w:p>
      <w:pPr>
        <w:pStyle w:val="Heading2"/>
        <w:spacing w:before="360" w:after="180"/>
      </w:pPr>
      <w:r>
        <w:rPr>
          <w:rFonts w:ascii="Garamond" w:cs="Garamond" w:eastAsia="Garamond" w:hAnsi="Garamond"/>
          <w:b/>
          <w:bCs/>
          <w:sz w:val="26"/>
          <w:szCs w:val="26"/>
        </w:rPr>
        <w:t xml:space="preserve">Regime Terms</w:t>
      </w:r>
    </w:p>
    <w:p>
      <w:pPr>
        <w:spacing w:after="120" w:line="264" w:lineRule="exact"/>
        <w:jc w:val="both"/>
      </w:pPr>
      <w:r>
        <w:rPr>
          <w:rFonts w:ascii="Garamond" w:cs="Garamond" w:eastAsia="Garamond" w:hAnsi="Garamond"/>
          <w:sz w:val="22"/>
          <w:szCs w:val="22"/>
        </w:rPr>
        <w:t xml:space="preserve">SS1 — L3 — non-admissible configuration. Not a physically realizable state under the NOT axiom. Retained as mathematical reference point only.</w:t>
      </w:r>
    </w:p>
    <w:p>
      <w:pPr>
        <w:spacing w:after="120"/>
      </w:pPr>
      <w:r>
        <w:t xml:space="preserve"/>
      </w:r>
    </w:p>
    <w:p>
      <w:pPr>
        <w:spacing w:after="120" w:line="264" w:lineRule="exact"/>
        <w:jc w:val="both"/>
      </w:pPr>
      <w:r>
        <w:rPr>
          <w:rFonts w:ascii="Garamond" w:cs="Garamond" w:eastAsia="Garamond" w:hAnsi="Garamond"/>
          <w:sz w:val="22"/>
          <w:szCs w:val="22"/>
        </w:rPr>
        <w:t xml:space="preserve">SS2 regime — L3 — confirmed stable regime. Translation: continuation_sustaining_without_exclusion. Verified at λ=0.25, κ=0.0005 under v2.3 schema.</w:t>
      </w:r>
    </w:p>
    <w:p>
      <w:pPr>
        <w:spacing w:after="120"/>
      </w:pPr>
      <w:r>
        <w:t xml:space="preserve"/>
      </w:r>
    </w:p>
    <w:p>
      <w:pPr>
        <w:spacing w:after="120" w:line="264" w:lineRule="exact"/>
        <w:jc w:val="both"/>
      </w:pPr>
      <w:r>
        <w:rPr>
          <w:rFonts w:ascii="Garamond" w:cs="Garamond" w:eastAsia="Garamond" w:hAnsi="Garamond"/>
          <w:sz w:val="22"/>
          <w:szCs w:val="22"/>
        </w:rPr>
        <w:t xml:space="preserve">SS3 regime — L3 — confirmed stable regime. Translation: exclusion_active_coexistence_regime. Verified over mapped low-κ slice. IC-branch specific.</w:t>
      </w:r>
    </w:p>
    <w:p>
      <w:pPr>
        <w:spacing w:after="120"/>
      </w:pPr>
      <w:r>
        <w:t xml:space="preserve"/>
      </w:r>
    </w:p>
    <w:p>
      <w:pPr>
        <w:spacing w:after="120" w:line="264" w:lineRule="exact"/>
        <w:jc w:val="both"/>
      </w:pPr>
      <w:r>
        <w:rPr>
          <w:rFonts w:ascii="Garamond" w:cs="Garamond" w:eastAsia="Garamond" w:hAnsi="Garamond"/>
          <w:sz w:val="22"/>
          <w:szCs w:val="22"/>
        </w:rPr>
        <w:t xml:space="preserve">Shelf regime — L3 — confirmed stable regime. Translation: partial_phase_lock_transition_layer. Verified at κ=0.11 and 0.12 under v2.3 schema.</w:t>
      </w:r>
    </w:p>
    <w:p>
      <w:pPr>
        <w:spacing w:after="120"/>
      </w:pPr>
      <w:r>
        <w:t xml:space="preserve"/>
      </w:r>
    </w:p>
    <w:p>
      <w:pPr>
        <w:spacing w:after="120" w:line="264" w:lineRule="exact"/>
        <w:jc w:val="both"/>
      </w:pPr>
      <w:r>
        <w:rPr>
          <w:rFonts w:ascii="Garamond" w:cs="Garamond" w:eastAsia="Garamond" w:hAnsi="Garamond"/>
          <w:sz w:val="22"/>
          <w:szCs w:val="22"/>
        </w:rPr>
        <w:t xml:space="preserve">Rate misalignment regime — L3 — compliant. Translation: pre_boundary_continuation_deformation. Confirmed as immediate precursor to lower persistence boundary at κ=0.55.</w:t>
      </w:r>
    </w:p>
    <w:p>
      <w:pPr>
        <w:spacing w:after="120"/>
      </w:pPr>
      <w:r>
        <w:t xml:space="preserve"/>
      </w:r>
    </w:p>
    <w:p>
      <w:pPr>
        <w:pStyle w:val="Heading2"/>
        <w:spacing w:before="360" w:after="180"/>
      </w:pPr>
      <w:r>
        <w:rPr>
          <w:rFonts w:ascii="Garamond" w:cs="Garamond" w:eastAsia="Garamond" w:hAnsi="Garamond"/>
          <w:b/>
          <w:bCs/>
          <w:sz w:val="26"/>
          <w:szCs w:val="26"/>
        </w:rPr>
        <w:t xml:space="preserve">Holographic Terms</w:t>
      </w:r>
    </w:p>
    <w:p>
      <w:pPr>
        <w:spacing w:after="120" w:line="264" w:lineRule="exact"/>
        <w:jc w:val="both"/>
      </w:pPr>
      <w:r>
        <w:rPr>
          <w:rFonts w:ascii="Garamond" w:cs="Garamond" w:eastAsia="Garamond" w:hAnsi="Garamond"/>
          <w:sz w:val="22"/>
          <w:szCs w:val="22"/>
        </w:rPr>
        <w:t>Relational phase (Δ_rel = φ − ρ_ref) — L3 — compliant as derived observable. The difference between the local continuation orientation and the local reference orientation. Gauge invariant under simultaneous phase shifts.</w:t>
      </w:r>
    </w:p>
    <w:p>
      <w:pPr>
        <w:spacing w:after="120"/>
      </w:pPr>
      <w:r>
        <w:t xml:space="preserve"/>
      </w:r>
    </w:p>
    <w:p>
      <w:pPr>
        <w:spacing w:after="120" w:line="264" w:lineRule="exact"/>
        <w:jc w:val="both"/>
      </w:pPr>
      <w:r>
        <w:rPr>
          <w:rFonts w:ascii="Garamond" w:cs="Garamond" w:eastAsia="Garamond" w:hAnsi="Garamond"/>
          <w:sz w:val="22"/>
          <w:szCs w:val="22"/>
        </w:rPr>
        <w:t xml:space="preserve">Projective invariant (Q = exp(2iΔ)) — L3 — compliant as derived observable. Phase-inversion invariant form of relational phase. Q = Q* (real) when Δ = 0 or π/2. Complex Q indicates partial phase-lock.</w:t>
      </w:r>
    </w:p>
    <w:p>
      <w:pPr>
        <w:spacing w:after="120"/>
      </w:pPr>
      <w:r>
        <w:t xml:space="preserve"/>
      </w:r>
    </w:p>
    <w:p>
      <w:pPr>
        <w:spacing w:after="120" w:line="264" w:lineRule="exact"/>
        <w:jc w:val="both"/>
      </w:pPr>
      <w:r>
        <w:rPr>
          <w:rFonts w:ascii="Garamond" w:cs="Garamond" w:eastAsia="Garamond" w:hAnsi="Garamond"/>
          <w:sz w:val="22"/>
          <w:szCs w:val="22"/>
        </w:rPr>
        <w:t xml:space="preserve">Stable closure condition (Δ(x,t) → Δ*(x)) — L3 — compliant as process condition. Names the condition under which a constraint regime sustains: the relational phase has locked to a stable spatial pattern. Verb rewrite: continuation and residue fields co-evolving such that their relational phase maintains a fixed spatial structure.</w:t>
      </w:r>
    </w:p>
    <w:p>
      <w:pPr>
        <w:spacing w:after="120"/>
      </w:pPr>
      <w:r>
        <w:t xml:space="preserve"/>
      </w:r>
    </w:p>
    <w:p>
      <w:pPr>
        <w:spacing w:after="120" w:line="264" w:lineRule="exact"/>
        <w:jc w:val="both"/>
      </w:pPr>
      <w:r>
        <w:rPr>
          <w:rFonts w:ascii="Garamond" w:cs="Garamond" w:eastAsia="Garamond" w:hAnsi="Garamond"/>
          <w:sz w:val="22"/>
          <w:szCs w:val="22"/>
        </w:rPr>
        <w:t xml:space="preserve">Temporal dipole — L3 — compliant as derived shorthand. Names the SS3 interface as a spatial location where two phase expression orientations coexist, sustained by the T/V balance. Reduces to: two regions with distinct relational phase orientations meeting at a location of fixed phase difference. No spatial container assumed.</w:t>
      </w:r>
    </w:p>
    <w:p>
      <w:pPr>
        <w:spacing w:after="120"/>
      </w:pPr>
      <w:r>
        <w:t xml:space="preserve"/>
      </w:r>
    </w:p>
    <w:p>
      <w:pPr>
        <w:spacing w:after="120" w:line="264" w:lineRule="exact"/>
        <w:jc w:val="both"/>
      </w:pPr>
      <w:r>
        <w:rPr>
          <w:rFonts w:ascii="Garamond" w:cs="Garamond" w:eastAsia="Garamond" w:hAnsi="Garamond"/>
          <w:sz w:val="22"/>
          <w:szCs w:val="22"/>
        </w:rPr>
        <w:t xml:space="preserve">Phase inversion symmetry (I_φ) — L2 — provisional. Translation: phase_inversion_operator. Status: provisional pending sim18. Not established as gauge symmetry. May appear in documents with explicit provisional tag.</w:t>
      </w:r>
    </w:p>
    <w:p>
      <w:pPr>
        <w:spacing w:after="120"/>
      </w:pPr>
      <w:r>
        <w:t xml:space="preserve"/>
      </w:r>
    </w:p>
    <w:p>
      <w:r>
        <w:br w:type="page"/>
      </w:r>
    </w:p>
    <w:p>
      <w:pPr>
        <w:spacing w:before="480" w:after="360"/>
      </w:pPr>
      <w:r>
        <w:rPr>
          <w:rFonts w:ascii="Garamond" w:cs="Garamond" w:eastAsia="Garamond" w:hAnsi="Garamond"/>
          <w:b/>
          <w:bCs/>
          <w:sz w:val="36"/>
          <w:szCs w:val="36"/>
        </w:rPr>
        <w:t xml:space="preserve">Appendix B: Provenance Register</w:t>
      </w:r>
    </w:p>
    <w:p>
      <w:pPr>
        <w:spacing w:after="120" w:line="264" w:lineRule="exact"/>
        <w:jc w:val="both"/>
      </w:pPr>
      <w:r>
        <w:rPr>
          <w:rFonts w:ascii="Garamond" w:cs="Garamond" w:eastAsia="Garamond" w:hAnsi="Garamond"/>
          <w:sz w:val="22"/>
          <w:szCs w:val="22"/>
        </w:rPr>
        <w:t xml:space="preserve">The following table records the status of prior findings as of this volume. Entries marked 'verified' have been reproduced under v2.3 schema with recoverable batch IDs. Entries marked 'pending' are still awaiting rerun confirmation.</w:t>
      </w:r>
    </w:p>
    <w:p>
      <w:pPr>
        <w:spacing w:after="120"/>
      </w:pPr>
      <w:r>
        <w:t xml:space="preserve"/>
      </w:r>
    </w:p>
    <w:p>
      <w:pPr>
        <w:pStyle w:val="Heading2"/>
        <w:spacing w:before="360" w:after="180"/>
      </w:pPr>
      <w:r>
        <w:rPr>
          <w:rFonts w:ascii="Garamond" w:cs="Garamond" w:eastAsia="Garamond" w:hAnsi="Garamond"/>
          <w:b/>
          <w:bCs/>
          <w:sz w:val="26"/>
          <w:szCs w:val="26"/>
        </w:rPr>
        <w:t xml:space="preserve">Verified Under v2.3</w:t>
      </w:r>
    </w:p>
    <w:p>
      <w:pPr>
        <w:spacing w:after="120" w:line="264" w:lineRule="exact"/>
        <w:jc w:val="both"/>
      </w:pPr>
      <w:r>
        <w:rPr>
          <w:rFonts w:ascii="Garamond" w:cs="Garamond" w:eastAsia="Garamond" w:hAnsi="Garamond"/>
          <w:sz w:val="22"/>
          <w:szCs w:val="22"/>
        </w:rPr>
        <w:t xml:space="preserve">SS2 regime at kappa=0.0005, lambda=0.25. Prior finding verified. Batch: 2026-03-19_sim_SS2_anchor_charterV2p3_metricV1_phase1_retry1.</w:t>
      </w:r>
    </w:p>
    <w:p>
      <w:pPr>
        <w:spacing w:after="120"/>
      </w:pPr>
      <w:r>
        <w:t xml:space="preserve"/>
      </w:r>
    </w:p>
    <w:p>
      <w:pPr>
        <w:spacing w:after="120" w:line="264" w:lineRule="exact"/>
        <w:jc w:val="both"/>
      </w:pPr>
      <w:r>
        <w:rPr>
          <w:rFonts w:ascii="Garamond" w:cs="Garamond" w:eastAsia="Garamond" w:hAnsi="Garamond"/>
          <w:sz w:val="22"/>
          <w:szCs w:val="22"/>
        </w:rPr>
        <w:t xml:space="preserve">R2 regime at kappa=0.55, lambda=0.10. Prior finding verified. Batch: 2026-03-19_sim_R2_anchor_charterV2p3_metricV1_phase1.</w:t>
      </w:r>
    </w:p>
    <w:p>
      <w:pPr>
        <w:spacing w:after="120"/>
      </w:pPr>
      <w:r>
        <w:t xml:space="preserve"/>
      </w:r>
    </w:p>
    <w:p>
      <w:pPr>
        <w:spacing w:after="120" w:line="264" w:lineRule="exact"/>
        <w:jc w:val="both"/>
      </w:pPr>
      <w:r>
        <w:rPr>
          <w:rFonts w:ascii="Garamond" w:cs="Garamond" w:eastAsia="Garamond" w:hAnsi="Garamond"/>
          <w:sz w:val="22"/>
          <w:szCs w:val="22"/>
        </w:rPr>
        <w:t xml:space="preserve">SS3 at kappa=0.05, lambda=0.043, front_seeded branch. Prior finding verified. Batch: 2026-03-19_sim_SS3_anchor_charterV2p3_metricV1_phase1.</w:t>
      </w:r>
    </w:p>
    <w:p>
      <w:pPr>
        <w:spacing w:after="120"/>
      </w:pPr>
      <w:r>
        <w:t xml:space="preserve"/>
      </w:r>
    </w:p>
    <w:p>
      <w:pPr>
        <w:spacing w:after="120" w:line="264" w:lineRule="exact"/>
        <w:jc w:val="both"/>
      </w:pPr>
      <w:r>
        <w:rPr>
          <w:rFonts w:ascii="Garamond" w:cs="Garamond" w:eastAsia="Garamond" w:hAnsi="Garamond"/>
          <w:sz w:val="22"/>
          <w:szCs w:val="22"/>
        </w:rPr>
        <w:t xml:space="preserve">Phase surface geometry from kappa=0.04 to 0.12. Prior finding verified and substantially extended. Batches: Phase 3 sim12–sim16, 2026-03-20.</w:t>
      </w:r>
    </w:p>
    <w:p>
      <w:pPr>
        <w:spacing w:after="120"/>
      </w:pPr>
      <w:r>
        <w:t xml:space="preserve"/>
      </w:r>
    </w:p>
    <w:p>
      <w:pPr>
        <w:spacing w:after="120" w:line="264" w:lineRule="exact"/>
        <w:jc w:val="both"/>
      </w:pPr>
      <w:r>
        <w:rPr>
          <w:rFonts w:ascii="Garamond" w:cs="Garamond" w:eastAsia="Garamond" w:hAnsi="Garamond"/>
          <w:sz w:val="22"/>
          <w:szCs w:val="22"/>
        </w:rPr>
        <w:t xml:space="preserve">Shelf regime at kappa=0.11 and 0.12. Prior finding verified after window correction. Batches: Phase 4 sim16/sim17 corrected, 2026-03-20.</w:t>
      </w:r>
    </w:p>
    <w:p>
      <w:pPr>
        <w:spacing w:after="120"/>
      </w:pPr>
      <w:r>
        <w:t xml:space="preserve"/>
      </w:r>
    </w:p>
    <w:p>
      <w:pPr>
        <w:pStyle w:val="Heading2"/>
        <w:spacing w:before="360" w:after="180"/>
      </w:pPr>
      <w:r>
        <w:rPr>
          <w:rFonts w:ascii="Garamond" w:cs="Garamond" w:eastAsia="Garamond" w:hAnsi="Garamond"/>
          <w:b/>
          <w:bCs/>
          <w:sz w:val="26"/>
          <w:szCs w:val="26"/>
        </w:rPr>
        <w:t xml:space="preserve">Pending Rerun</w:t>
      </w:r>
    </w:p>
    <w:p>
      <w:pPr>
        <w:spacing w:after="120" w:line="264" w:lineRule="exact"/>
        <w:jc w:val="both"/>
      </w:pPr>
      <w:r>
        <w:rPr>
          <w:rFonts w:ascii="Garamond" w:cs="Garamond" w:eastAsia="Garamond" w:hAnsi="Garamond"/>
          <w:sz w:val="22"/>
          <w:szCs w:val="22"/>
        </w:rPr>
        <w:t xml:space="preserve">Lower SS3 edge exact brackets at kappa=0.05: lambda=0.041 runaway, lambda=0.042 SS3 entry. [PRIOR FINDING — pending sim9 rerun].</w:t>
      </w:r>
    </w:p>
    <w:p>
      <w:pPr>
        <w:spacing w:after="120"/>
      </w:pPr>
      <w:r>
        <w:t xml:space="preserve"/>
      </w:r>
    </w:p>
    <w:p>
      <w:pPr>
        <w:spacing w:after="120" w:line="264" w:lineRule="exact"/>
        <w:jc w:val="both"/>
      </w:pPr>
      <w:r>
        <w:rPr>
          <w:rFonts w:ascii="Garamond" w:cs="Garamond" w:eastAsia="Garamond" w:hAnsi="Garamond"/>
          <w:sz w:val="22"/>
          <w:szCs w:val="22"/>
        </w:rPr>
        <w:t xml:space="preserve">SRC proxy negative case D_sr~0, K=0 in SS2. [PRIOR FINDING — pending sim8 deep metrics activation].</w:t>
      </w:r>
    </w:p>
    <w:p>
      <w:pPr>
        <w:spacing w:after="120"/>
      </w:pPr>
      <w:r>
        <w:t xml:space="preserve"/>
      </w:r>
    </w:p>
    <w:p>
      <w:pPr>
        <w:spacing w:after="120" w:line="264" w:lineRule="exact"/>
        <w:jc w:val="both"/>
      </w:pPr>
      <w:r>
        <w:rPr>
          <w:rFonts w:ascii="Garamond" w:cs="Garamond" w:eastAsia="Garamond" w:hAnsi="Garamond"/>
          <w:sz w:val="22"/>
          <w:szCs w:val="22"/>
        </w:rPr>
        <w:t xml:space="preserve">IC accessibility structure for kappa=0.07–0.10. [OPEN — not yet mapped].</w:t>
      </w:r>
    </w:p>
    <w:sectPr>
      <w:headerReference w:type="default" r:id="rId6"/>
      <w:footerReference w:type="default" r:id="rId7"/>
      <w:pgSz w:w="7200" w:h="11520" w:orient="portrait"/>
      <w:pgMar w:top="1296"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rFonts w:ascii="Garamond" w:cs="Garamond" w:eastAsia="Garamond" w:hAnsi="Garamond"/>
        <w:color w:val="888888"/>
        <w:sz w:val="18"/>
        <w:szCs w:val="18"/>
      </w:rPr>
      <w:t xml:space="preserve">Continuation and Constraint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Garamond" w:cs="Garamond" w:eastAsia="Garamond" w:hAnsi="Garamond"/>
      <w:b/>
      <w:bCs/>
      <w:sz w:val="36"/>
      <w:szCs w:val="36"/>
    </w:rPr>
  </w:style>
  <w:style w:type="paragraph" w:styleId="Heading2">
    <w:name w:val="Heading 2"/>
    <w:basedOn w:val="Normal"/>
    <w:next w:val="Normal"/>
    <w:qFormat/>
    <w:pPr>
      <w:spacing w:before="360" w:after="180"/>
      <w:outlineLvl w:val="1"/>
    </w:pPr>
    <w:rPr>
      <w:rFonts w:ascii="Garamond" w:cs="Garamond" w:eastAsia="Garamond" w:hAnsi="Garamond"/>
      <w:b/>
      <w:bCs/>
      <w:sz w:val="26"/>
      <w:szCs w:val="26"/>
    </w:rPr>
  </w:style>
  <w:style w:type="paragraph" w:styleId="Heading3">
    <w:name w:val="Heading 3"/>
    <w:basedOn w:val="Normal"/>
    <w:next w:val="Normal"/>
    <w:qFormat/>
    <w:pPr>
      <w:spacing w:before="240" w:after="120"/>
      <w:outlineLvl w:val="2"/>
    </w:pPr>
    <w:rPr>
      <w:rFonts w:ascii="Garamond" w:cs="Garamond" w:eastAsia="Garamond" w:hAnsi="Garamond"/>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2026-03-21T01:18:09.329Z</dcterms:created>
  <dcterms:modified xsi:type="dcterms:W3CDTF">2026-03-21T01:18:09.329Z</dcterms:modified>
</cp:coreProperties>
</file>

<file path=docProps/custom.xml><?xml version="1.0" encoding="utf-8"?>
<Properties xmlns="http://schemas.openxmlformats.org/officeDocument/2006/custom-properties" xmlns:vt="http://schemas.openxmlformats.org/officeDocument/2006/docPropsVTypes"/>
</file>