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40"/>
          <w:szCs w:val="40"/>
        </w:rPr>
        <w:t xml:space="preserve">Session Capture: MPF Theoretical Development</w:t>
      </w:r>
    </w:p>
    <w:p>
      <w:pPr>
        <w:spacing w:after="60" w:before="0"/>
        <w:jc w:val="center"/>
      </w:pPr>
      <w:r>
        <w:rPr>
          <w:rFonts w:ascii="Arial" w:cs="Arial" w:eastAsia="Arial" w:hAnsi="Arial"/>
          <w:i/>
          <w:iCs/>
          <w:color w:val="1A6B8A"/>
          <w:sz w:val="26"/>
          <w:szCs w:val="26"/>
        </w:rPr>
        <w:t xml:space="preserve">Biased Transport, the M-Laws, and Geometry from Information</w:t>
      </w:r>
    </w:p>
    <w:p>
      <w:pPr>
        <w:spacing w:after="480" w:before="0"/>
        <w:jc w:val="center"/>
      </w:pPr>
      <w:r>
        <w:rPr>
          <w:rFonts w:ascii="Arial" w:cs="Arial" w:eastAsia="Arial" w:hAnsi="Arial"/>
          <w:color w:val="888888"/>
          <w:sz w:val="20"/>
          <w:szCs w:val="20"/>
        </w:rPr>
        <w:t xml:space="preserve">James Hoskins / MPF Research Session — May 2026</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1. The Starting Point: ℰ ≠ 0 and Its Logic</w:t>
      </w:r>
    </w:p>
    <w:p>
      <w:pPr>
        <w:spacing w:after="80" w:before="80"/>
      </w:pPr>
      <w:r>
        <w:rPr>
          <w:rFonts w:ascii="Arial" w:cs="Arial" w:eastAsia="Arial" w:hAnsi="Arial"/>
          <w:sz w:val="22"/>
          <w:szCs w:val="22"/>
        </w:rPr>
        <w:t xml:space="preserve">The session opened by examining the NOT-axiom in its simplest form. The single constraint of Strict Procedural Monism is:</w:t>
      </w:r>
    </w:p>
    <w:p>
      <w:pPr>
        <w:spacing w:after="60" w:before="60"/>
        <w:ind w:left="720"/>
      </w:pPr>
      <w:r>
        <w:rPr>
          <w:rFonts w:ascii="Courier New" w:cs="Courier New" w:eastAsia="Courier New" w:hAnsi="Courier New"/>
          <w:color w:val="1A6B8A"/>
          <w:sz w:val="20"/>
          <w:szCs w:val="20"/>
        </w:rPr>
        <w:t xml:space="preserve">ℰ ≠ 0</w:t>
      </w:r>
    </w:p>
    <w:p>
      <w:pPr>
        <w:spacing w:after="80" w:before="80"/>
      </w:pPr>
      <w:r>
        <w:rPr>
          <w:rFonts w:ascii="Arial" w:cs="Arial" w:eastAsia="Arial" w:hAnsi="Arial"/>
          <w:sz w:val="22"/>
          <w:szCs w:val="22"/>
        </w:rPr>
        <w:t xml:space="preserve">This rules out perfect symmetry — a state of no difference, no relation, no deviation. The critical insight established early in the session was the logical equivalence:</w:t>
      </w:r>
    </w:p>
    <w:p>
      <w:pPr>
        <w:spacing w:after="60" w:before="60"/>
        <w:ind w:left="720"/>
      </w:pPr>
      <w:r>
        <w:rPr>
          <w:rFonts w:ascii="Courier New" w:cs="Courier New" w:eastAsia="Courier New" w:hAnsi="Courier New"/>
          <w:color w:val="1A6B8A"/>
          <w:sz w:val="20"/>
          <w:szCs w:val="20"/>
        </w:rPr>
        <w:t xml:space="preserve">ℰ ≠ 0 = true  ⇔  ℰ &gt; 0 = true</w:t>
      </w:r>
    </w:p>
    <w:p>
      <w:pPr>
        <w:pBdr>
          <w:left w:val="single" w:color="1A6B8A" w:sz="12" w:space="12"/>
        </w:pBdr>
        <w:spacing w:after="120" w:before="120"/>
        <w:ind w:left="720"/>
      </w:pPr>
      <w:r>
        <w:rPr>
          <w:rFonts w:ascii="Arial" w:cs="Arial" w:eastAsia="Arial" w:hAnsi="Arial"/>
          <w:i/>
          <w:iCs/>
          <w:color w:val="1A1A1A"/>
          <w:sz w:val="22"/>
          <w:szCs w:val="22"/>
        </w:rPr>
        <w:t xml:space="preserve">This equivalence holds not by mathematical convention but by ontological construction. In the SPM framework, ℰ is a deviation magnitude — it measures how far the system is from perfect symmetry. Perfect symmetry is zero. Everything else is positive. There is no meaningful negative branch. So ℰ ≠ 0 and ℰ &gt; 0 are not just formally equivalent — they describe the same physical condition from two angles.</w:t>
      </w:r>
    </w:p>
    <w:p>
      <w:pPr>
        <w:spacing w:after="80" w:before="80"/>
      </w:pPr>
      <w:r>
        <w:rPr>
          <w:rFonts w:ascii="Arial" w:cs="Arial" w:eastAsia="Arial" w:hAnsi="Arial"/>
          <w:sz w:val="22"/>
          <w:szCs w:val="22"/>
        </w:rPr>
        <w:t xml:space="preserve">This matters because it means the NOT-axiom is not merely a logical exclusion. It is a statement about the directionality of participation: the system can only be in one of two conditions — null (non-participating, ℰ = 0) or positively deviated (participating, ℰ &gt; 0). There is no middle ground and no negative participation.</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2. The Master Relation and the Two-Version Law Structure</w:t>
      </w:r>
    </w:p>
    <w:p>
      <w:pPr>
        <w:spacing w:after="80" w:before="80"/>
      </w:pPr>
      <w:r>
        <w:rPr>
          <w:rFonts w:ascii="Arial" w:cs="Arial" w:eastAsia="Arial" w:hAnsi="Arial"/>
          <w:sz w:val="22"/>
          <w:szCs w:val="22"/>
        </w:rPr>
        <w:t xml:space="preserve">The session established a critical upgrade to the foundational logic. The original law set (SPM Law Bible, The Law of the One Process) was built from ℰ ≠ 0 alone as its parent. The new master relation is:</w:t>
      </w:r>
    </w:p>
    <w:p>
      <w:pPr>
        <w:spacing w:after="60" w:before="60"/>
        <w:ind w:left="720"/>
      </w:pPr>
      <w:r>
        <w:rPr>
          <w:rFonts w:ascii="Courier New" w:cs="Courier New" w:eastAsia="Courier New" w:hAnsi="Courier New"/>
          <w:color w:val="1A6B8A"/>
          <w:sz w:val="20"/>
          <w:szCs w:val="20"/>
        </w:rPr>
        <w:t xml:space="preserve">(ℰ ≠ 0)  ⇔  δ(ℰ &gt; 0)</w:t>
      </w:r>
    </w:p>
    <w:p>
      <w:pPr>
        <w:spacing w:after="80" w:before="80"/>
      </w:pPr>
      <w:r>
        <w:rPr>
          <w:rFonts w:ascii="Arial" w:cs="Arial" w:eastAsia="Arial" w:hAnsi="Arial"/>
          <w:sz w:val="22"/>
          <w:szCs w:val="22"/>
        </w:rPr>
        <w:t xml:space="preserve">The δ operator encodes the transition character — the crossing event from non-participation into participation. This is not merely restating ℰ ≠ 0. It adds the dynamic structure of how participation begins.</w:t>
      </w:r>
    </w:p>
    <w:p>
      <w:pPr>
        <w:pStyle w:val="Heading2"/>
        <w:spacing w:after="120" w:before="280"/>
      </w:pPr>
      <w:r>
        <w:rPr>
          <w:rFonts w:ascii="Arial" w:cs="Arial" w:eastAsia="Arial" w:hAnsi="Arial"/>
          <w:b/>
          <w:bCs/>
          <w:color w:val="1A6B8A"/>
          <w:sz w:val="26"/>
          <w:szCs w:val="26"/>
        </w:rPr>
        <w:t xml:space="preserve">2.1 The Hierarchy</w:t>
      </w:r>
    </w:p>
    <w:p>
      <w:pPr>
        <w:spacing w:after="80" w:before="80"/>
      </w:pPr>
      <w:r>
        <w:rPr>
          <w:rFonts w:ascii="Arial" w:cs="Arial" w:eastAsia="Arial" w:hAnsi="Arial"/>
          <w:sz w:val="22"/>
          <w:szCs w:val="22"/>
        </w:rPr>
        <w:t xml:space="preserve">The theoretical hierarchy was established as follows:</w:t>
      </w:r>
    </w:p>
    <w:p>
      <w:pPr>
        <w:pStyle w:val="ListParagraph"/>
        <w:numPr>
          <w:ilvl w:val="0"/>
          <w:numId w:val="2"/>
        </w:numPr>
        <w:spacing w:after="60" w:before="60"/>
      </w:pPr>
      <w:r>
        <w:rPr>
          <w:rFonts w:ascii="Arial" w:cs="Arial" w:eastAsia="Arial" w:hAnsi="Arial"/>
          <w:sz w:val="22"/>
          <w:szCs w:val="22"/>
        </w:rPr>
        <w:t xml:space="preserve">(ℰ ≠ 0) ⇔ δ(ℰ &gt; 0)  — master relation, parent of the M-laws</w:t>
      </w:r>
    </w:p>
    <w:p>
      <w:pPr>
        <w:pStyle w:val="ListParagraph"/>
        <w:numPr>
          <w:ilvl w:val="0"/>
          <w:numId w:val="2"/>
        </w:numPr>
        <w:spacing w:after="60" w:before="60"/>
      </w:pPr>
      <w:r>
        <w:rPr>
          <w:rFonts w:ascii="Arial" w:cs="Arial" w:eastAsia="Arial" w:hAnsi="Arial"/>
          <w:sz w:val="22"/>
          <w:szCs w:val="22"/>
        </w:rPr>
        <w:t xml:space="preserve">M0 through M14  — laws derived from the full master relation</w:t>
      </w:r>
    </w:p>
    <w:p>
      <w:pPr>
        <w:pStyle w:val="ListParagraph"/>
        <w:numPr>
          <w:ilvl w:val="0"/>
          <w:numId w:val="2"/>
        </w:numPr>
        <w:spacing w:after="60" w:before="60"/>
      </w:pPr>
      <w:r>
        <w:rPr>
          <w:rFonts w:ascii="Arial" w:cs="Arial" w:eastAsia="Arial" w:hAnsi="Arial"/>
          <w:sz w:val="22"/>
          <w:szCs w:val="22"/>
        </w:rPr>
        <w:t xml:space="preserve">(ℰ ≠ 0) alone  — parent of the technical paper on biased transport</w:t>
      </w:r>
    </w:p>
    <w:p>
      <w:pPr>
        <w:pStyle w:val="ListParagraph"/>
        <w:numPr>
          <w:ilvl w:val="0"/>
          <w:numId w:val="2"/>
        </w:numPr>
        <w:spacing w:after="60" w:before="60"/>
      </w:pPr>
      <w:r>
        <w:rPr>
          <w:rFonts w:ascii="Arial" w:cs="Arial" w:eastAsia="Arial" w:hAnsi="Arial"/>
          <w:sz w:val="22"/>
          <w:szCs w:val="22"/>
        </w:rPr>
        <w:t xml:space="preserve">Warp Transport Technical Paper  — empirical investigation under the single constraint</w:t>
      </w:r>
    </w:p>
    <w:p>
      <w:pPr>
        <w:pBdr>
          <w:left w:val="single" w:color="1A6B8A" w:sz="12" w:space="12"/>
        </w:pBdr>
        <w:spacing w:after="120" w:before="120"/>
        <w:ind w:left="720"/>
      </w:pPr>
      <w:r>
        <w:rPr>
          <w:rFonts w:ascii="Arial" w:cs="Arial" w:eastAsia="Arial" w:hAnsi="Arial"/>
          <w:i/>
          <w:iCs/>
          <w:color w:val="1A1A1A"/>
          <w:sz w:val="22"/>
          <w:szCs w:val="22"/>
        </w:rPr>
        <w:t xml:space="preserve">Each level uses exactly what it needs from the level above and no more. The laws need the full biconditional because they describe structural mechanics including entry and exit. The paper needs only the left side because it asks a narrower empirical question: given that ℰ ≠ 0 is operative, what does forced misalignment look like?</w:t>
      </w:r>
    </w:p>
    <w:p>
      <w:pPr>
        <w:pStyle w:val="Heading2"/>
        <w:spacing w:after="120" w:before="280"/>
      </w:pPr>
      <w:r>
        <w:rPr>
          <w:rFonts w:ascii="Arial" w:cs="Arial" w:eastAsia="Arial" w:hAnsi="Arial"/>
          <w:b/>
          <w:bCs/>
          <w:color w:val="1A6B8A"/>
          <w:sz w:val="26"/>
          <w:szCs w:val="26"/>
        </w:rPr>
        <w:t xml:space="preserve">2.2 What the Old Version Cannot Reach</w:t>
      </w:r>
    </w:p>
    <w:p>
      <w:pPr>
        <w:spacing w:after="80" w:before="80"/>
      </w:pPr>
      <w:r>
        <w:rPr>
          <w:rFonts w:ascii="Arial" w:cs="Arial" w:eastAsia="Arial" w:hAnsi="Arial"/>
          <w:sz w:val="22"/>
          <w:szCs w:val="22"/>
        </w:rPr>
        <w:t xml:space="preserve">The original ℰ ≠ 0 law set is valid but structurally incomplete. It gives the static structure of participation — what it is, what it requires, what it produces. The full master relation adds the dynamic structure — how participation begins, how it ends, what the boundaries look like as transition events.</w:t>
      </w:r>
    </w:p>
    <w:p>
      <w:pPr>
        <w:spacing w:after="80" w:before="80"/>
      </w:pPr>
      <w:r>
        <w:rPr>
          <w:rFonts w:ascii="Arial" w:cs="Arial" w:eastAsia="Arial" w:hAnsi="Arial"/>
          <w:sz w:val="22"/>
          <w:szCs w:val="22"/>
        </w:rPr>
        <w:t xml:space="preserve">Specifically, the old version lacks:</w:t>
      </w:r>
    </w:p>
    <w:p>
      <w:pPr>
        <w:pStyle w:val="ListParagraph"/>
        <w:numPr>
          <w:ilvl w:val="0"/>
          <w:numId w:val="2"/>
        </w:numPr>
        <w:spacing w:after="60" w:before="60"/>
      </w:pPr>
      <w:r>
        <w:rPr>
          <w:rFonts w:ascii="Arial" w:cs="Arial" w:eastAsia="Arial" w:hAnsi="Arial"/>
          <w:sz w:val="22"/>
          <w:szCs w:val="22"/>
        </w:rPr>
        <w:t xml:space="preserve">A theory of activation — no law for what makes a non-null state become model-relevant</w:t>
      </w:r>
    </w:p>
    <w:p>
      <w:pPr>
        <w:pStyle w:val="ListParagraph"/>
        <w:numPr>
          <w:ilvl w:val="0"/>
          <w:numId w:val="2"/>
        </w:numPr>
        <w:spacing w:after="60" w:before="60"/>
      </w:pPr>
      <w:r>
        <w:rPr>
          <w:rFonts w:ascii="Arial" w:cs="Arial" w:eastAsia="Arial" w:hAnsi="Arial"/>
          <w:sz w:val="22"/>
          <w:szCs w:val="22"/>
        </w:rPr>
        <w:t xml:space="preserve">A theory of biased transport — the s term appears in the PDE but no governing law exists</w:t>
      </w:r>
    </w:p>
    <w:p>
      <w:pPr>
        <w:pStyle w:val="ListParagraph"/>
        <w:numPr>
          <w:ilvl w:val="0"/>
          <w:numId w:val="2"/>
        </w:numPr>
        <w:spacing w:after="60" w:before="60"/>
      </w:pPr>
      <w:r>
        <w:rPr>
          <w:rFonts w:ascii="Arial" w:cs="Arial" w:eastAsia="Arial" w:hAnsi="Arial"/>
          <w:sz w:val="22"/>
          <w:szCs w:val="22"/>
        </w:rPr>
        <w:t xml:space="preserve">Geometry laws — no analog of M11 (Geometry Projection) or M12 (Curvature Failure)</w:t>
      </w:r>
    </w:p>
    <w:p>
      <w:pPr>
        <w:pStyle w:val="ListParagraph"/>
        <w:numPr>
          <w:ilvl w:val="0"/>
          <w:numId w:val="2"/>
        </w:numPr>
        <w:spacing w:after="60" w:before="60"/>
      </w:pPr>
      <w:r>
        <w:rPr>
          <w:rFonts w:ascii="Arial" w:cs="Arial" w:eastAsia="Arial" w:hAnsi="Arial"/>
          <w:sz w:val="22"/>
          <w:szCs w:val="22"/>
        </w:rPr>
        <w:t xml:space="preserve">A closure rule — nothing requiring biconditional consistency across the master relation</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3. The M-Law Set: Structure and Key Rules</w:t>
      </w:r>
    </w:p>
    <w:p>
      <w:pPr>
        <w:spacing w:after="80" w:before="80"/>
      </w:pPr>
      <w:r>
        <w:rPr>
          <w:rFonts w:ascii="Arial" w:cs="Arial" w:eastAsia="Arial" w:hAnsi="Arial"/>
          <w:sz w:val="22"/>
          <w:szCs w:val="22"/>
        </w:rPr>
        <w:t xml:space="preserve">The new M-law set (M0–M14) was presented and analyzed. Its master relation is (ℰ ≠ 0) ⇔ δ(ℰ &gt; 0). The laws form a tight derivation chain from ground state through participation, propagation, transport, geometry, and collapse.</w:t>
      </w:r>
    </w:p>
    <w:p>
      <w:pPr>
        <w:pStyle w:val="Heading2"/>
        <w:spacing w:after="120" w:before="280"/>
      </w:pPr>
      <w:r>
        <w:rPr>
          <w:rFonts w:ascii="Arial" w:cs="Arial" w:eastAsia="Arial" w:hAnsi="Arial"/>
          <w:b/>
          <w:bCs/>
          <w:color w:val="1A6B8A"/>
          <w:sz w:val="26"/>
          <w:szCs w:val="26"/>
        </w:rPr>
        <w:t xml:space="preserve">3.1 The Derivation Chain M0→M9</w:t>
      </w:r>
    </w:p>
    <w:p>
      <w:pPr>
        <w:spacing w:after="80" w:before="80"/>
      </w:pPr>
      <w:r>
        <w:rPr>
          <w:rFonts w:ascii="Arial" w:cs="Arial" w:eastAsia="Arial" w:hAnsi="Arial"/>
          <w:sz w:val="22"/>
          <w:szCs w:val="22"/>
        </w:rPr>
        <w:t xml:space="preserve">The chain M0 through M9 reads as a complete derivation of biased transport from first principles:</w:t>
      </w:r>
    </w:p>
    <w:p>
      <w:pPr>
        <w:pStyle w:val="ListParagraph"/>
        <w:numPr>
          <w:ilvl w:val="0"/>
          <w:numId w:val="2"/>
        </w:numPr>
        <w:spacing w:after="60" w:before="60"/>
      </w:pPr>
      <w:r>
        <w:rPr>
          <w:rFonts w:ascii="Arial" w:cs="Arial" w:eastAsia="Arial" w:hAnsi="Arial"/>
          <w:sz w:val="22"/>
          <w:szCs w:val="22"/>
        </w:rPr>
        <w:t xml:space="preserve">M0 — start condition: non-participating symmetry, not void</w:t>
      </w:r>
    </w:p>
    <w:p>
      <w:pPr>
        <w:pStyle w:val="ListParagraph"/>
        <w:numPr>
          <w:ilvl w:val="0"/>
          <w:numId w:val="2"/>
        </w:numPr>
        <w:spacing w:after="60" w:before="60"/>
      </w:pPr>
      <w:r>
        <w:rPr>
          <w:rFonts w:ascii="Arial" w:cs="Arial" w:eastAsia="Arial" w:hAnsi="Arial"/>
          <w:sz w:val="22"/>
          <w:szCs w:val="22"/>
        </w:rPr>
        <w:t xml:space="preserve">M1 — once participating, must stay non-null (ℰ ≠ 0 enforced forward)</w:t>
      </w:r>
    </w:p>
    <w:p>
      <w:pPr>
        <w:pStyle w:val="ListParagraph"/>
        <w:numPr>
          <w:ilvl w:val="0"/>
          <w:numId w:val="2"/>
        </w:numPr>
        <w:spacing w:after="60" w:before="60"/>
      </w:pPr>
      <w:r>
        <w:rPr>
          <w:rFonts w:ascii="Arial" w:cs="Arial" w:eastAsia="Arial" w:hAnsi="Arial"/>
          <w:sz w:val="22"/>
          <w:szCs w:val="22"/>
        </w:rPr>
        <w:t xml:space="preserve">M2 — non-null is not enough: activation required for model-relevance</w:t>
      </w:r>
    </w:p>
    <w:p>
      <w:pPr>
        <w:pStyle w:val="ListParagraph"/>
        <w:numPr>
          <w:ilvl w:val="0"/>
          <w:numId w:val="2"/>
        </w:numPr>
        <w:spacing w:after="60" w:before="60"/>
      </w:pPr>
      <w:r>
        <w:rPr>
          <w:rFonts w:ascii="Arial" w:cs="Arial" w:eastAsia="Arial" w:hAnsi="Arial"/>
          <w:sz w:val="22"/>
          <w:szCs w:val="22"/>
        </w:rPr>
        <w:t xml:space="preserve">M3 — activation produces distinguishable mismatch</w:t>
      </w:r>
    </w:p>
    <w:p>
      <w:pPr>
        <w:pStyle w:val="ListParagraph"/>
        <w:numPr>
          <w:ilvl w:val="0"/>
          <w:numId w:val="2"/>
        </w:numPr>
        <w:spacing w:after="60" w:before="60"/>
      </w:pPr>
      <w:r>
        <w:rPr>
          <w:rFonts w:ascii="Arial" w:cs="Arial" w:eastAsia="Arial" w:hAnsi="Arial"/>
          <w:sz w:val="22"/>
          <w:szCs w:val="22"/>
        </w:rPr>
        <w:t xml:space="preserve">M4 — mismatch requires local selection among admissible continuations</w:t>
      </w:r>
    </w:p>
    <w:p>
      <w:pPr>
        <w:pStyle w:val="ListParagraph"/>
        <w:numPr>
          <w:ilvl w:val="0"/>
          <w:numId w:val="2"/>
        </w:numPr>
        <w:spacing w:after="60" w:before="60"/>
      </w:pPr>
      <w:r>
        <w:rPr>
          <w:rFonts w:ascii="Arial" w:cs="Arial" w:eastAsia="Arial" w:hAnsi="Arial"/>
          <w:sz w:val="22"/>
          <w:szCs w:val="22"/>
        </w:rPr>
        <w:t xml:space="preserve">M5 — selection induces bounded -(i) reference condition</w:t>
      </w:r>
    </w:p>
    <w:p>
      <w:pPr>
        <w:pStyle w:val="ListParagraph"/>
        <w:numPr>
          <w:ilvl w:val="0"/>
          <w:numId w:val="2"/>
        </w:numPr>
        <w:spacing w:after="60" w:before="60"/>
      </w:pPr>
      <w:r>
        <w:rPr>
          <w:rFonts w:ascii="Arial" w:cs="Arial" w:eastAsia="Arial" w:hAnsi="Arial"/>
          <w:sz w:val="22"/>
          <w:szCs w:val="22"/>
        </w:rPr>
        <w:t xml:space="preserve">M6 — realized selections leave residue constraining later selections</w:t>
      </w:r>
    </w:p>
    <w:p>
      <w:pPr>
        <w:pStyle w:val="ListParagraph"/>
        <w:numPr>
          <w:ilvl w:val="0"/>
          <w:numId w:val="2"/>
        </w:numPr>
        <w:spacing w:after="60" w:before="60"/>
      </w:pPr>
      <w:r>
        <w:rPr>
          <w:rFonts w:ascii="Arial" w:cs="Arial" w:eastAsia="Arial" w:hAnsi="Arial"/>
          <w:sz w:val="22"/>
          <w:szCs w:val="22"/>
        </w:rPr>
        <w:t xml:space="preserve">M7 — only continuations inside the admissibility window propagate</w:t>
      </w:r>
    </w:p>
    <w:p>
      <w:pPr>
        <w:pStyle w:val="ListParagraph"/>
        <w:numPr>
          <w:ilvl w:val="0"/>
          <w:numId w:val="2"/>
        </w:numPr>
        <w:spacing w:after="60" w:before="60"/>
      </w:pPr>
      <w:r>
        <w:rPr>
          <w:rFonts w:ascii="Arial" w:cs="Arial" w:eastAsia="Arial" w:hAnsi="Arial"/>
          <w:sz w:val="22"/>
          <w:szCs w:val="22"/>
        </w:rPr>
        <w:t xml:space="preserve">M8 — deviation persists by propagating across source, residue, and transport frames</w:t>
      </w:r>
    </w:p>
    <w:p>
      <w:pPr>
        <w:pStyle w:val="ListParagraph"/>
        <w:numPr>
          <w:ilvl w:val="0"/>
          <w:numId w:val="2"/>
        </w:numPr>
        <w:spacing w:after="60" w:before="60"/>
      </w:pPr>
      <w:r>
        <w:rPr>
          <w:rFonts w:ascii="Arial" w:cs="Arial" w:eastAsia="Arial" w:hAnsi="Arial"/>
          <w:sz w:val="22"/>
          <w:szCs w:val="22"/>
        </w:rPr>
        <w:t xml:space="preserve">M9 — biased transport: propagation through an admissibility-biased reference structure</w:t>
      </w:r>
    </w:p>
    <w:p>
      <w:pPr>
        <w:pBdr>
          <w:left w:val="single" w:color="1A6B8A" w:sz="12" w:space="12"/>
        </w:pBdr>
        <w:spacing w:after="120" w:before="120"/>
        <w:ind w:left="720"/>
      </w:pPr>
      <w:r>
        <w:rPr>
          <w:rFonts w:ascii="Arial" w:cs="Arial" w:eastAsia="Arial" w:hAnsi="Arial"/>
          <w:i/>
          <w:iCs/>
          <w:color w:val="1A1A1A"/>
          <w:sz w:val="22"/>
          <w:szCs w:val="22"/>
        </w:rPr>
        <w:t xml:space="preserve">M9 is the theoretical parent of the entire biased transport technical paper. The paper is the empirical investigation of what M9 predicts. The whole chain M0–M9 is the derivation of what biased transport is before any simulation runs.</w:t>
      </w:r>
    </w:p>
    <w:p>
      <w:pPr>
        <w:pStyle w:val="Heading2"/>
        <w:spacing w:after="120" w:before="280"/>
      </w:pPr>
      <w:r>
        <w:rPr>
          <w:rFonts w:ascii="Arial" w:cs="Arial" w:eastAsia="Arial" w:hAnsi="Arial"/>
          <w:b/>
          <w:bCs/>
          <w:color w:val="1A6B8A"/>
          <w:sz w:val="26"/>
          <w:szCs w:val="26"/>
        </w:rPr>
        <w:t xml:space="preserve">3.2 M14 — The Closure Rule</w:t>
      </w:r>
    </w:p>
    <w:p>
      <w:pPr>
        <w:spacing w:after="80" w:before="80"/>
      </w:pPr>
      <w:r>
        <w:rPr>
          <w:rFonts w:ascii="Arial" w:cs="Arial" w:eastAsia="Arial" w:hAnsi="Arial"/>
          <w:sz w:val="22"/>
          <w:szCs w:val="22"/>
        </w:rPr>
        <w:t xml:space="preserve">M14 is the most structurally significant law: any rule derived from one side of the master relation must remain consistent when read from the other side. This is a hard consistency demand on the entire system.</w:t>
      </w:r>
    </w:p>
    <w:p>
      <w:pPr>
        <w:pBdr>
          <w:left w:val="single" w:color="1A6B8A" w:sz="12" w:space="12"/>
        </w:pBdr>
        <w:spacing w:after="120" w:before="120"/>
        <w:ind w:left="720"/>
      </w:pPr>
      <w:r>
        <w:rPr>
          <w:rFonts w:ascii="Arial" w:cs="Arial" w:eastAsia="Arial" w:hAnsi="Arial"/>
          <w:i/>
          <w:iCs/>
          <w:color w:val="1A1A1A"/>
          <w:sz w:val="22"/>
          <w:szCs w:val="22"/>
        </w:rPr>
        <w:t xml:space="preserve">M14 is what makes the biconditional in the master relation load-bearing rather than decorative. It means every law M0–M13 has a two-directional reading — from the participation side and from the transition side — and both must be consistent. If they fail to be consistent, the law is incomplete.</w:t>
      </w:r>
    </w:p>
    <w:p>
      <w:pPr>
        <w:spacing w:after="80" w:before="80"/>
      </w:pPr>
      <w:r>
        <w:rPr>
          <w:rFonts w:ascii="Arial" w:cs="Arial" w:eastAsia="Arial" w:hAnsi="Arial"/>
          <w:sz w:val="22"/>
          <w:szCs w:val="22"/>
        </w:rPr>
        <w:t xml:space="preserve">M2 (Activation) and M7 (Window) were flagged as the laws most likely to be asymmetric under M14 reversal and worth stress-testing explicitly.</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4. The Biased Transport Paper: Mapping to the Laws</w:t>
      </w:r>
    </w:p>
    <w:p>
      <w:pPr>
        <w:spacing w:after="80" w:before="80"/>
      </w:pPr>
      <w:r>
        <w:rPr>
          <w:rFonts w:ascii="Arial" w:cs="Arial" w:eastAsia="Arial" w:hAnsi="Arial"/>
          <w:sz w:val="22"/>
          <w:szCs w:val="22"/>
        </w:rPr>
        <w:t xml:space="preserve">The Warp Transport Technical Paper (BIAS_TRANS_2026_05_02, L2 classification) was analyzed against both the master relation and the M-law set. The paper investigates biased transport as a forced, residue-supported, orientation-opposed corridor.</w:t>
      </w:r>
    </w:p>
    <w:p>
      <w:pPr>
        <w:pStyle w:val="Heading2"/>
        <w:spacing w:after="120" w:before="280"/>
      </w:pPr>
      <w:r>
        <w:rPr>
          <w:rFonts w:ascii="Arial" w:cs="Arial" w:eastAsia="Arial" w:hAnsi="Arial"/>
          <w:b/>
          <w:bCs/>
          <w:color w:val="1A6B8A"/>
          <w:sz w:val="26"/>
          <w:szCs w:val="26"/>
        </w:rPr>
        <w:t xml:space="preserve">4.1 Three-Part Characterization</w:t>
      </w:r>
    </w:p>
    <w:p>
      <w:pPr>
        <w:spacing w:after="80" w:before="80"/>
      </w:pPr>
      <w:r>
        <w:rPr>
          <w:rFonts w:ascii="Arial" w:cs="Arial" w:eastAsia="Arial" w:hAnsi="Arial"/>
          <w:sz w:val="22"/>
          <w:szCs w:val="22"/>
        </w:rPr>
        <w:t xml:space="preserve">Each term in the characterization rules out a different explanatory collapse:</w:t>
      </w:r>
    </w:p>
    <w:p>
      <w:pPr>
        <w:pStyle w:val="ListParagraph"/>
        <w:numPr>
          <w:ilvl w:val="0"/>
          <w:numId w:val="2"/>
        </w:numPr>
        <w:spacing w:after="60" w:before="60"/>
      </w:pPr>
      <w:r>
        <w:rPr>
          <w:rFonts w:ascii="Arial" w:cs="Arial" w:eastAsia="Arial" w:hAnsi="Arial"/>
          <w:sz w:val="22"/>
          <w:szCs w:val="22"/>
        </w:rPr>
        <w:t xml:space="preserve">Forced — rules out spontaneous emergence</w:t>
      </w:r>
    </w:p>
    <w:p>
      <w:pPr>
        <w:pStyle w:val="ListParagraph"/>
        <w:numPr>
          <w:ilvl w:val="0"/>
          <w:numId w:val="2"/>
        </w:numPr>
        <w:spacing w:after="60" w:before="60"/>
      </w:pPr>
      <w:r>
        <w:rPr>
          <w:rFonts w:ascii="Arial" w:cs="Arial" w:eastAsia="Arial" w:hAnsi="Arial"/>
          <w:sz w:val="22"/>
          <w:szCs w:val="22"/>
        </w:rPr>
        <w:t xml:space="preserve">Residue-supported — rules out instantaneous collapse; κ keeps the corridor alive</w:t>
      </w:r>
    </w:p>
    <w:p>
      <w:pPr>
        <w:pStyle w:val="ListParagraph"/>
        <w:numPr>
          <w:ilvl w:val="0"/>
          <w:numId w:val="2"/>
        </w:numPr>
        <w:spacing w:after="60" w:before="60"/>
      </w:pPr>
      <w:r>
        <w:rPr>
          <w:rFonts w:ascii="Arial" w:cs="Arial" w:eastAsia="Arial" w:hAnsi="Arial"/>
          <w:sz w:val="22"/>
          <w:szCs w:val="22"/>
        </w:rPr>
        <w:t xml:space="preserve">Orientation-opposed — rules out the corridor being secretly aligned with a deeper basin</w:t>
      </w:r>
    </w:p>
    <w:p>
      <w:pPr>
        <w:pStyle w:val="Heading2"/>
        <w:spacing w:after="120" w:before="280"/>
      </w:pPr>
      <w:r>
        <w:rPr>
          <w:rFonts w:ascii="Arial" w:cs="Arial" w:eastAsia="Arial" w:hAnsi="Arial"/>
          <w:b/>
          <w:bCs/>
          <w:color w:val="1A6B8A"/>
          <w:sz w:val="26"/>
          <w:szCs w:val="26"/>
        </w:rPr>
        <w:t xml:space="preserve">4.2 The Threshold at s ≈ 0.3</w:t>
      </w:r>
    </w:p>
    <w:p>
      <w:pPr>
        <w:spacing w:after="80" w:before="80"/>
      </w:pPr>
      <w:r>
        <w:rPr>
          <w:rFonts w:ascii="Arial" w:cs="Arial" w:eastAsia="Arial" w:hAnsi="Arial"/>
          <w:sz w:val="22"/>
          <w:szCs w:val="22"/>
        </w:rPr>
        <w:t xml:space="preserve">The paper's strongest empirical anchor is the sharp transition in alignment success rate at s ≈ 0.3. Under the M-law reading:</w:t>
      </w:r>
    </w:p>
    <w:p>
      <w:pPr>
        <w:pStyle w:val="ListParagraph"/>
        <w:numPr>
          <w:ilvl w:val="0"/>
          <w:numId w:val="2"/>
        </w:numPr>
        <w:spacing w:after="60" w:before="60"/>
      </w:pPr>
      <w:r>
        <w:rPr>
          <w:rFonts w:ascii="Arial" w:cs="Arial" w:eastAsia="Arial" w:hAnsi="Arial"/>
          <w:sz w:val="22"/>
          <w:szCs w:val="22"/>
        </w:rPr>
        <w:t xml:space="preserve">s_crit is the empirical location of the M7 admissibility window boundary</w:t>
      </w:r>
    </w:p>
    <w:p>
      <w:pPr>
        <w:pStyle w:val="ListParagraph"/>
        <w:numPr>
          <w:ilvl w:val="0"/>
          <w:numId w:val="2"/>
        </w:numPr>
        <w:spacing w:after="60" w:before="60"/>
      </w:pPr>
      <w:r>
        <w:rPr>
          <w:rFonts w:ascii="Arial" w:cs="Arial" w:eastAsia="Arial" w:hAnsi="Arial"/>
          <w:sz w:val="22"/>
          <w:szCs w:val="22"/>
        </w:rPr>
        <w:t xml:space="preserve">Below s_crit: M7 filters the corridor out; basin wins despite ℰ ≠ 0</w:t>
      </w:r>
    </w:p>
    <w:p>
      <w:pPr>
        <w:pStyle w:val="ListParagraph"/>
        <w:numPr>
          <w:ilvl w:val="0"/>
          <w:numId w:val="2"/>
        </w:numPr>
        <w:spacing w:after="60" w:before="60"/>
      </w:pPr>
      <w:r>
        <w:rPr>
          <w:rFonts w:ascii="Arial" w:cs="Arial" w:eastAsia="Arial" w:hAnsi="Arial"/>
          <w:sz w:val="22"/>
          <w:szCs w:val="22"/>
        </w:rPr>
        <w:t xml:space="preserve">Above s_crit: M7 admits the corridor; M6 residue takes over persistence</w:t>
      </w:r>
    </w:p>
    <w:p>
      <w:pPr>
        <w:pBdr>
          <w:left w:val="single" w:color="1A6B8A" w:sz="12" w:space="12"/>
        </w:pBdr>
        <w:spacing w:after="120" w:before="120"/>
        <w:ind w:left="720"/>
      </w:pPr>
      <w:r>
        <w:rPr>
          <w:rFonts w:ascii="Arial" w:cs="Arial" w:eastAsia="Arial" w:hAnsi="Arial"/>
          <w:i/>
          <w:iCs/>
          <w:color w:val="1A1A1A"/>
          <w:sz w:val="22"/>
          <w:szCs w:val="22"/>
        </w:rPr>
        <w:t xml:space="preserve">M7 predicts a threshold must exist. The paper finds one. This is not a simulation artifact — it is the empirical signature of the admissibility window boundary that M7 specifies must be present in any forced corridor.</w:t>
      </w:r>
    </w:p>
    <w:p>
      <w:pPr>
        <w:spacing w:after="80" w:before="80"/>
      </w:pPr>
      <w:r>
        <w:rPr>
          <w:rFonts w:ascii="Arial" w:cs="Arial" w:eastAsia="Arial" w:hAnsi="Arial"/>
          <w:sz w:val="22"/>
          <w:szCs w:val="22"/>
        </w:rPr>
        <w:t xml:space="preserve">The gap identified: the paper conflates the entry threshold and the persistence threshold in Measurement 1 because forcing is held constant throughout. The NOT-axiom logic suggests two thresholds may exist independently — one for initiation (ℰ sufficient to oppose the basin) and one for persistence (κ sufficient to sustain the corridor after forcing weakens). This was not tested.</w:t>
      </w:r>
    </w:p>
    <w:p>
      <w:pPr>
        <w:pStyle w:val="Heading2"/>
        <w:spacing w:after="120" w:before="280"/>
      </w:pPr>
      <w:r>
        <w:rPr>
          <w:rFonts w:ascii="Arial" w:cs="Arial" w:eastAsia="Arial" w:hAnsi="Arial"/>
          <w:b/>
          <w:bCs/>
          <w:color w:val="1A6B8A"/>
          <w:sz w:val="26"/>
          <w:szCs w:val="26"/>
        </w:rPr>
        <w:t xml:space="preserve">4.3 The Collapse Signature</w:t>
      </w:r>
    </w:p>
    <w:p>
      <w:pPr>
        <w:spacing w:after="80" w:before="80"/>
      </w:pPr>
      <w:r>
        <w:rPr>
          <w:rFonts w:ascii="Arial" w:cs="Arial" w:eastAsia="Arial" w:hAnsi="Arial"/>
          <w:sz w:val="22"/>
          <w:szCs w:val="22"/>
        </w:rPr>
        <w:t xml:space="preserve">Measurement 2 (Alpha-tail removal) probes M6 directly: when residue support is withdrawn, how does the corridor fail? The non-oscillatory collapse signature (dominant_power_fraction = 0.32 vs. 0.51 in Kuramoto natural basin ringdown) is consistent with M13 — mismatch accumulation exceeding recoupling capacity, producing broadband spectral dispersion rather than coherent ringdown.</w:t>
      </w:r>
    </w:p>
    <w:p>
      <w:pPr>
        <w:spacing w:after="80" w:before="80"/>
      </w:pPr>
      <w:r>
        <w:rPr>
          <w:rFonts w:ascii="Arial" w:cs="Arial" w:eastAsia="Arial" w:hAnsi="Arial"/>
          <w:sz w:val="22"/>
          <w:szCs w:val="22"/>
        </w:rPr>
        <w:t xml:space="preserve">The paper correctly classifies this as L2 (Proposed Interpretation). The dominant_power_fraction contrast is real but thin as a single number. The M13 connection gives it theoretical grounding, but 2D ensemble runs and explicit spectral entropy reporting are needed before upgrading the claim level.</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5. QM and GR as Allegory: The M-Laws Applied</w:t>
      </w:r>
    </w:p>
    <w:p>
      <w:pPr>
        <w:spacing w:after="80" w:before="80"/>
      </w:pPr>
      <w:r>
        <w:rPr>
          <w:rFonts w:ascii="Arial" w:cs="Arial" w:eastAsia="Arial" w:hAnsi="Arial"/>
          <w:sz w:val="22"/>
          <w:szCs w:val="22"/>
        </w:rPr>
        <w:t xml:space="preserve">The session applied the M-law set to the QM/GR incompatibility problem as a structural allegory, not a physical claim. The mapping:</w:t>
      </w:r>
    </w:p>
    <w:p>
      <w:pPr>
        <w:spacing w:after="60" w:before="60"/>
        <w:ind w:left="720"/>
      </w:pPr>
      <w:r>
        <w:rPr>
          <w:rFonts w:ascii="Courier New" w:cs="Courier New" w:eastAsia="Courier New" w:hAnsi="Courier New"/>
          <w:color w:val="1A6B8A"/>
          <w:sz w:val="20"/>
          <w:szCs w:val="20"/>
        </w:rPr>
        <w:t xml:space="preserve">(ℰ ≠ 0)  ⇔  QM side  —  relational mismatch, superposition, discrete eigenvalues</w:t>
      </w:r>
    </w:p>
    <w:p>
      <w:pPr>
        <w:spacing w:after="60" w:before="60"/>
        <w:ind w:left="720"/>
      </w:pPr>
      <w:r>
        <w:rPr>
          <w:rFonts w:ascii="Courier New" w:cs="Courier New" w:eastAsia="Courier New" w:hAnsi="Courier New"/>
          <w:color w:val="1A6B8A"/>
          <w:sz w:val="20"/>
          <w:szCs w:val="20"/>
        </w:rPr>
        <w:t xml:space="preserve">δ(ℰ &gt; 0) ⇔  GR side  —  realized deviation expressed as smooth geometric structure</w:t>
      </w:r>
    </w:p>
    <w:p>
      <w:pPr>
        <w:pStyle w:val="Heading2"/>
        <w:spacing w:after="120" w:before="280"/>
      </w:pPr>
      <w:r>
        <w:rPr>
          <w:rFonts w:ascii="Arial" w:cs="Arial" w:eastAsia="Arial" w:hAnsi="Arial"/>
          <w:b/>
          <w:bCs/>
          <w:color w:val="1A6B8A"/>
          <w:sz w:val="26"/>
          <w:szCs w:val="26"/>
        </w:rPr>
        <w:t xml:space="preserve">5.1 Key Law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M-Law</w:t>
            </w:r>
          </w:p>
        </w:tc>
        <w:tc>
          <w:tcPr>
            <w:tcW w:type="dxa" w:w="4680"/>
            <w:tcBorders>
              <w:top w:val="single" w:color="2E4057" w:sz="1"/>
              <w:left w:val="single" w:color="2E4057" w:sz="1"/>
              <w:bottom w:val="single" w:color="2E4057" w:sz="1"/>
              <w:right w:val="single" w:color="2E4057"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QM/GR Reading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M0 — No-Thing Boundary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QM vacuum |0⟩ and GR flat Minkowski are the same boundary in two languages</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M1 — Nonzero Continuation</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QM unitarity preserves norm; GR metric non-degeneracy. Singularity = M1 failing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M2 — Activation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QM has measurement (superposition → realized outcome). GR has no activation event. First genuine split.</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M4+M5 — Selection + Reference</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QM: Born rule operating probabilistically. GR: geodesic selection operating deterministically. Same law, different mechanisms.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M6 — Residue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QM: decoherence / measurement record (informational). GR: the metric itself (geometric). Same law, different residue type.</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M7 — Window Rule</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QM: Hilbert space superselection sectors. GR: the light cone (causality). Same law, different window geometry.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M11 — Geometry Projection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QM needs M11 to produce the classical limit. GR assumes M11 has already happened. This is the measurement problem restated.</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M13 — Collapse</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QM: wavefunction collapse. GR: gravitational collapse / singularity. Both are the participation chain breaking at the framework boundary.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M14 — Closure Rule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M14 failing IS the QM/GR incompatibility. Each theory derives laws from one side that are inconsistent when read from the other.</w:t>
            </w:r>
          </w:p>
        </w:tc>
      </w:tr>
    </w:tbl>
    <w:p>
      <w:pPr>
        <w:spacing w:before="240"/>
      </w:pPr>
    </w:p>
    <w:p>
      <w:pPr>
        <w:pBdr>
          <w:left w:val="single" w:color="1A6B8A" w:sz="12" w:space="12"/>
        </w:pBdr>
        <w:spacing w:after="120" w:before="120"/>
        <w:ind w:left="720"/>
      </w:pPr>
      <w:r>
        <w:rPr>
          <w:rFonts w:ascii="Arial" w:cs="Arial" w:eastAsia="Arial" w:hAnsi="Arial"/>
          <w:i/>
          <w:iCs/>
          <w:color w:val="1A1A1A"/>
          <w:sz w:val="22"/>
          <w:szCs w:val="22"/>
        </w:rPr>
        <w:t xml:space="preserve">GR is a theory of the δ(ℰ &gt; 0) side only — it describes what participation looks like after activation has already occurred, projected into geometry by M11. QM is a theory of the (ℰ ≠ 0) side — it describes the pre-activation relational structure. The master relation states they are descriptions of the same reality. M14 demands they be mutually consistent. Quantum gravity is the derivation of M14 satisfaction across M0–M13.</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6. Geometry from Information: The Core Restatement</w:t>
      </w:r>
    </w:p>
    <w:p>
      <w:pPr>
        <w:spacing w:after="80" w:before="80"/>
      </w:pPr>
      <w:r>
        <w:rPr>
          <w:rFonts w:ascii="Arial" w:cs="Arial" w:eastAsia="Arial" w:hAnsi="Arial"/>
          <w:sz w:val="22"/>
          <w:szCs w:val="22"/>
        </w:rPr>
        <w:t xml:space="preserve">The session's deepest theoretical development was the restatement of the geometry-from-information idea in MPF terms. The standard framing and the MPF version were contrasted: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1"/>
              <w:left w:val="single" w:color="2E4057" w:sz="1"/>
              <w:bottom w:val="single" w:color="2E4057" w:sz="1"/>
              <w:right w:val="single" w:color="2E4057"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Standard Idea</w:t>
            </w:r>
          </w:p>
        </w:tc>
        <w:tc>
          <w:tcPr>
            <w:tcW w:type="dxa" w:w="4680"/>
            <w:tcBorders>
              <w:top w:val="single" w:color="2E4057" w:sz="1"/>
              <w:left w:val="single" w:color="2E4057" w:sz="1"/>
              <w:bottom w:val="single" w:color="2E4057" w:sz="1"/>
              <w:right w:val="single" w:color="2E4057"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MPF Framework Version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Information is data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Information is resolved mismatch</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Space is a container</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Space/geometry is the shape of admissible continuation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Distance is length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Distance is cost of transition between admissible states</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Curvature is bent space</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Curvature is biased continuation caused by residue and constraint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Metric tells how far things are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Metric tells how difficult one continuation is compared to another</w:t>
            </w:r>
          </w:p>
        </w:tc>
      </w:tr>
      <w:tr>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Boundary separates regions</w:t>
            </w:r>
          </w:p>
        </w:tc>
        <w:tc>
          <w:tcPr>
            <w:tcW w:type="dxa" w:w="4680"/>
            <w:tcBorders>
              <w:top w:val="single" w:color="CCCCCC" w:sz="1"/>
              <w:left w:val="single" w:color="CCCCCC" w:sz="1"/>
              <w:bottom w:val="single" w:color="CCCCCC" w:sz="1"/>
              <w:right w:val="single" w:color="CCCCCC" w:sz="1"/>
            </w:tcBorders>
            <w:shd w:fill="EEF4F8" w:val="clear"/>
            <w:tcMar>
              <w:top w:type="dxa" w:w="100"/>
              <w:left w:type="dxa" w:w="160"/>
              <w:bottom w:type="dxa" w:w="100"/>
              <w:right w:type="dxa" w:w="160"/>
            </w:tcMar>
          </w:tcPr>
          <w:p>
            <w:r>
              <w:rPr>
                <w:rFonts w:ascii="Arial" w:cs="Arial" w:eastAsia="Arial" w:hAnsi="Arial"/>
                <w:sz w:val="20"/>
                <w:szCs w:val="20"/>
              </w:rPr>
              <w:t xml:space="preserve">Boundary marks where one admissibility regime stops and another begins</w:t>
            </w:r>
          </w:p>
        </w:tc>
      </w:tr>
    </w:tbl>
    <w:p>
      <w:pPr>
        <w:spacing w:before="240"/>
      </w:pPr>
    </w:p>
    <w:p>
      <w:pPr>
        <w:pStyle w:val="Heading2"/>
        <w:spacing w:after="120" w:before="280"/>
      </w:pPr>
      <w:r>
        <w:rPr>
          <w:rFonts w:ascii="Arial" w:cs="Arial" w:eastAsia="Arial" w:hAnsi="Arial"/>
          <w:b/>
          <w:bCs/>
          <w:color w:val="1A6B8A"/>
          <w:sz w:val="26"/>
          <w:szCs w:val="26"/>
        </w:rPr>
        <w:t xml:space="preserve">6.1 The Chain</w:t>
      </w:r>
    </w:p>
    <w:p>
      <w:pPr>
        <w:spacing w:after="80" w:before="80"/>
      </w:pPr>
      <w:r>
        <w:rPr>
          <w:rFonts w:ascii="Arial" w:cs="Arial" w:eastAsia="Arial" w:hAnsi="Arial"/>
          <w:sz w:val="22"/>
          <w:szCs w:val="22"/>
        </w:rPr>
        <w:t xml:space="preserve">The full derivation chain from mismatch to geometry:</w:t>
      </w:r>
    </w:p>
    <w:p>
      <w:pPr>
        <w:spacing w:after="60" w:before="60"/>
        <w:ind w:left="720"/>
      </w:pPr>
      <w:r>
        <w:rPr>
          <w:rFonts w:ascii="Courier New" w:cs="Courier New" w:eastAsia="Courier New" w:hAnsi="Courier New"/>
          <w:color w:val="1A6B8A"/>
          <w:sz w:val="20"/>
          <w:szCs w:val="20"/>
        </w:rPr>
        <w:t xml:space="preserve">mismatch → distinction → selection → residue → constraint → admissibility → directional bias → metric → geometry</w:t>
      </w:r>
    </w:p>
    <w:p>
      <w:pPr>
        <w:spacing w:after="80" w:before="80"/>
      </w:pPr>
      <w:r>
        <w:rPr>
          <w:rFonts w:ascii="Arial" w:cs="Arial" w:eastAsia="Arial" w:hAnsi="Arial"/>
          <w:sz w:val="22"/>
          <w:szCs w:val="22"/>
        </w:rPr>
        <w:t xml:space="preserve">The ε–ρ–R decomposition was restated geometrically:</w:t>
      </w:r>
    </w:p>
    <w:p>
      <w:pPr>
        <w:pStyle w:val="ListParagraph"/>
        <w:numPr>
          <w:ilvl w:val="0"/>
          <w:numId w:val="2"/>
        </w:numPr>
        <w:spacing w:after="60" w:before="60"/>
      </w:pPr>
      <w:r>
        <w:rPr>
          <w:rFonts w:ascii="Arial" w:cs="Arial" w:eastAsia="Arial" w:hAnsi="Arial"/>
          <w:sz w:val="22"/>
          <w:szCs w:val="22"/>
        </w:rPr>
        <w:t xml:space="preserve">ε generates difference</w:t>
      </w:r>
    </w:p>
    <w:p>
      <w:pPr>
        <w:pStyle w:val="ListParagraph"/>
        <w:numPr>
          <w:ilvl w:val="0"/>
          <w:numId w:val="2"/>
        </w:numPr>
        <w:spacing w:after="60" w:before="60"/>
      </w:pPr>
      <w:r>
        <w:rPr>
          <w:rFonts w:ascii="Arial" w:cs="Arial" w:eastAsia="Arial" w:hAnsi="Arial"/>
          <w:sz w:val="22"/>
          <w:szCs w:val="22"/>
        </w:rPr>
        <w:t xml:space="preserve">ρ limits what difference can do</w:t>
      </w:r>
    </w:p>
    <w:p>
      <w:pPr>
        <w:pStyle w:val="ListParagraph"/>
        <w:numPr>
          <w:ilvl w:val="0"/>
          <w:numId w:val="2"/>
        </w:numPr>
        <w:spacing w:after="60" w:before="60"/>
      </w:pPr>
      <w:r>
        <w:rPr>
          <w:rFonts w:ascii="Arial" w:cs="Arial" w:eastAsia="Arial" w:hAnsi="Arial"/>
          <w:sz w:val="22"/>
          <w:szCs w:val="22"/>
        </w:rPr>
        <w:t xml:space="preserve">R remembers what difference has done</w:t>
      </w:r>
    </w:p>
    <w:p>
      <w:pPr>
        <w:pStyle w:val="ListParagraph"/>
        <w:numPr>
          <w:ilvl w:val="0"/>
          <w:numId w:val="2"/>
        </w:numPr>
        <w:spacing w:after="60" w:before="60"/>
      </w:pPr>
      <w:r>
        <w:rPr>
          <w:rFonts w:ascii="Arial" w:cs="Arial" w:eastAsia="Arial" w:hAnsi="Arial"/>
          <w:sz w:val="22"/>
          <w:szCs w:val="22"/>
        </w:rPr>
        <w:t xml:space="preserve">Geometry is the organized field produced by ε, ρ, and R together</w:t>
      </w:r>
    </w:p>
    <w:p>
      <w:pPr>
        <w:pStyle w:val="Heading2"/>
        <w:spacing w:after="120" w:before="280"/>
      </w:pPr>
      <w:r>
        <w:rPr>
          <w:rFonts w:ascii="Arial" w:cs="Arial" w:eastAsia="Arial" w:hAnsi="Arial"/>
          <w:b/>
          <w:bCs/>
          <w:color w:val="1A6B8A"/>
          <w:sz w:val="26"/>
          <w:szCs w:val="26"/>
        </w:rPr>
        <w:t xml:space="preserve">6.2 The Critical Transition: Information Becomes Constraint</w:t>
      </w:r>
    </w:p>
    <w:p>
      <w:pPr>
        <w:pBdr>
          <w:left w:val="single" w:color="1A6B8A" w:sz="12" w:space="12"/>
        </w:pBdr>
        <w:spacing w:after="120" w:before="120"/>
        <w:ind w:left="720"/>
      </w:pPr>
      <w:r>
        <w:rPr>
          <w:rFonts w:ascii="Arial" w:cs="Arial" w:eastAsia="Arial" w:hAnsi="Arial"/>
          <w:i/>
          <w:iCs/>
          <w:color w:val="1A1A1A"/>
          <w:sz w:val="22"/>
          <w:szCs w:val="22"/>
        </w:rPr>
        <w:t xml:space="preserve">Information becomes geometric only when it affects what can happen next. This is the sharpest line of the session. Most geometry-from-information proposals leave the transition mechanism vague. The MPF framework specifies it exactly: the transition is M6. Residue inscription is the moment information becomes geometric. Not before.</w:t>
      </w:r>
    </w:p>
    <w:p>
      <w:pPr>
        <w:spacing w:after="80" w:before="80"/>
      </w:pPr>
      <w:r>
        <w:rPr>
          <w:rFonts w:ascii="Arial" w:cs="Arial" w:eastAsia="Arial" w:hAnsi="Arial"/>
          <w:sz w:val="22"/>
          <w:szCs w:val="22"/>
        </w:rPr>
        <w:t xml:space="preserve">This yields the three-tier distinction:</w:t>
      </w:r>
    </w:p>
    <w:p>
      <w:pPr>
        <w:pStyle w:val="ListParagraph"/>
        <w:numPr>
          <w:ilvl w:val="0"/>
          <w:numId w:val="2"/>
        </w:numPr>
        <w:spacing w:after="60" w:before="60"/>
      </w:pPr>
      <w:r>
        <w:rPr>
          <w:rFonts w:ascii="Arial" w:cs="Arial" w:eastAsia="Arial" w:hAnsi="Arial"/>
          <w:sz w:val="22"/>
          <w:szCs w:val="22"/>
        </w:rPr>
        <w:t xml:space="preserve">Unresolved information = potential distinction (ℰ ≠ 0 but no selection yet)</w:t>
      </w:r>
    </w:p>
    <w:p>
      <w:pPr>
        <w:pStyle w:val="ListParagraph"/>
        <w:numPr>
          <w:ilvl w:val="0"/>
          <w:numId w:val="2"/>
        </w:numPr>
        <w:spacing w:after="60" w:before="60"/>
      </w:pPr>
      <w:r>
        <w:rPr>
          <w:rFonts w:ascii="Arial" w:cs="Arial" w:eastAsia="Arial" w:hAnsi="Arial"/>
          <w:sz w:val="22"/>
          <w:szCs w:val="22"/>
        </w:rPr>
        <w:t xml:space="preserve">Resolved information = admissibility structure (selection has occurred via M4–M5)</w:t>
      </w:r>
    </w:p>
    <w:p>
      <w:pPr>
        <w:pStyle w:val="ListParagraph"/>
        <w:numPr>
          <w:ilvl w:val="0"/>
          <w:numId w:val="2"/>
        </w:numPr>
        <w:spacing w:after="60" w:before="60"/>
      </w:pPr>
      <w:r>
        <w:rPr>
          <w:rFonts w:ascii="Arial" w:cs="Arial" w:eastAsia="Arial" w:hAnsi="Arial"/>
          <w:sz w:val="22"/>
          <w:szCs w:val="22"/>
        </w:rPr>
        <w:t xml:space="preserve">Persistent admissibility structure = geometry (residue has accumulated via M6, constraining M7)</w:t>
      </w:r>
    </w:p>
    <w:p>
      <w:pPr>
        <w:pStyle w:val="Heading2"/>
        <w:spacing w:after="120" w:before="280"/>
      </w:pPr>
      <w:r>
        <w:rPr>
          <w:rFonts w:ascii="Arial" w:cs="Arial" w:eastAsia="Arial" w:hAnsi="Arial"/>
          <w:b/>
          <w:bCs/>
          <w:color w:val="1A6B8A"/>
          <w:sz w:val="26"/>
          <w:szCs w:val="26"/>
        </w:rPr>
        <w:t xml:space="preserve">6.3 The Role of ⇔</w:t>
      </w:r>
    </w:p>
    <w:p>
      <w:pPr>
        <w:spacing w:after="80" w:before="80"/>
      </w:pPr>
      <w:r>
        <w:rPr>
          <w:rFonts w:ascii="Arial" w:cs="Arial" w:eastAsia="Arial" w:hAnsi="Arial"/>
          <w:sz w:val="22"/>
          <w:szCs w:val="22"/>
        </w:rPr>
        <w:t xml:space="preserve">The biconditional in the master relation was identified as a recoupling process, not mere logical equivalence. Geometry can fail to exist if the recoupling doesn’t happen — if mismatch never stabilizes into admissibility structure. That failure is M13.</w:t>
      </w:r>
    </w:p>
    <w:p>
      <w:pPr>
        <w:pStyle w:val="Heading2"/>
        <w:spacing w:after="120" w:before="280"/>
      </w:pPr>
      <w:r>
        <w:rPr>
          <w:rFonts w:ascii="Arial" w:cs="Arial" w:eastAsia="Arial" w:hAnsi="Arial"/>
          <w:b/>
          <w:bCs/>
          <w:color w:val="1A6B8A"/>
          <w:sz w:val="26"/>
          <w:szCs w:val="26"/>
        </w:rPr>
        <w:t xml:space="preserve">6.4 Most Compressed Form</w:t>
      </w:r>
    </w:p>
    <w:p>
      <w:pPr>
        <w:spacing w:after="80" w:before="200"/>
        <w:jc w:val="center"/>
      </w:pPr>
      <w:r>
        <w:rPr>
          <w:rFonts w:ascii="Arial" w:cs="Arial" w:eastAsia="Arial" w:hAnsi="Arial"/>
          <w:b/>
          <w:bCs/>
          <w:color w:val="2E4057"/>
          <w:sz w:val="26"/>
          <w:szCs w:val="26"/>
        </w:rPr>
        <w:t xml:space="preserve">Geometry = constrained memory of resolved mismatch.</w:t>
      </w:r>
    </w:p>
    <w:p>
      <w:pPr>
        <w:spacing w:after="200" w:before="0"/>
        <w:jc w:val="center"/>
      </w:pPr>
      <w:r>
        <w:rPr>
          <w:rFonts w:ascii="Arial" w:cs="Arial" w:eastAsia="Arial" w:hAnsi="Arial"/>
          <w:i/>
          <w:iCs/>
          <w:color w:val="555555"/>
          <w:sz w:val="22"/>
          <w:szCs w:val="22"/>
        </w:rPr>
        <w:t xml:space="preserve">More precisely: geometry = constrained memory of sequentially resolved mismatch.</w:t>
      </w:r>
    </w:p>
    <w:p>
      <w:pPr>
        <w:pBdr>
          <w:left w:val="single" w:color="1A6B8A" w:sz="12" w:space="12"/>
        </w:pBdr>
        <w:spacing w:after="120" w:before="120"/>
        <w:ind w:left="720"/>
      </w:pPr>
      <w:r>
        <w:rPr>
          <w:rFonts w:ascii="Arial" w:cs="Arial" w:eastAsia="Arial" w:hAnsi="Arial"/>
          <w:i/>
          <w:iCs/>
          <w:color w:val="1A1A1A"/>
          <w:sz w:val="22"/>
          <w:szCs w:val="22"/>
        </w:rPr>
        <w:t xml:space="preserve">The sequential qualifier matters. It is what makes geometry have topology, not just local metric. The order in which resolutions happened, accumulated as residue, produces the global shape. A single resolution gives a local admissibility structure. Many sequential resolutions, each constraining the next via R, give extended geometry with connectedness, holes, boundaries, curvature. Topology is the memory of the sequence. Metric is the memory of the costs. Both are residue at different scales.</w:t>
      </w:r>
    </w:p>
    <w:p>
      <w:pPr>
        <w:pBdr>
          <w:bottom w:val="single" w:color="2E4057" w:sz="6" w:space="1"/>
        </w:pBdr>
        <w:spacing w:after="240" w:before="240"/>
      </w:pPr>
    </w:p>
    <w:p>
      <w:pPr>
        <w:pStyle w:val="Heading1"/>
        <w:spacing w:after="180" w:before="360"/>
      </w:pPr>
      <w:r>
        <w:rPr>
          <w:rFonts w:ascii="Arial" w:cs="Arial" w:eastAsia="Arial" w:hAnsi="Arial"/>
          <w:b/>
          <w:bCs/>
          <w:color w:val="2E4057"/>
          <w:sz w:val="32"/>
          <w:szCs w:val="32"/>
        </w:rPr>
        <w:t xml:space="preserve">7. Open Questions and Next Steps</w:t>
      </w:r>
    </w:p>
    <w:p>
      <w:pPr>
        <w:pStyle w:val="Heading2"/>
        <w:spacing w:after="120" w:before="280"/>
      </w:pPr>
      <w:r>
        <w:rPr>
          <w:rFonts w:ascii="Arial" w:cs="Arial" w:eastAsia="Arial" w:hAnsi="Arial"/>
          <w:b/>
          <w:bCs/>
          <w:color w:val="1A6B8A"/>
          <w:sz w:val="26"/>
          <w:szCs w:val="26"/>
        </w:rPr>
        <w:t xml:space="preserve">7.1 Theoretical Gaps</w:t>
      </w:r>
    </w:p>
    <w:p>
      <w:pPr>
        <w:pStyle w:val="ListParagraph"/>
        <w:numPr>
          <w:ilvl w:val="0"/>
          <w:numId w:val="2"/>
        </w:numPr>
        <w:spacing w:after="60" w:before="60"/>
      </w:pPr>
      <w:r>
        <w:rPr>
          <w:rFonts w:ascii="Arial" w:cs="Arial" w:eastAsia="Arial" w:hAnsi="Arial"/>
          <w:sz w:val="22"/>
          <w:szCs w:val="22"/>
        </w:rPr>
        <w:t xml:space="preserve">The two-threshold question: does κ have its own criticality κ_crit independent of s_crit? The paper does not probe this.</w:t>
      </w:r>
    </w:p>
    <w:p>
      <w:pPr>
        <w:pStyle w:val="ListParagraph"/>
        <w:numPr>
          <w:ilvl w:val="0"/>
          <w:numId w:val="2"/>
        </w:numPr>
        <w:spacing w:after="60" w:before="60"/>
      </w:pPr>
      <w:r>
        <w:rPr>
          <w:rFonts w:ascii="Arial" w:cs="Arial" w:eastAsia="Arial" w:hAnsi="Arial"/>
          <w:sz w:val="22"/>
          <w:szCs w:val="22"/>
        </w:rPr>
        <w:t xml:space="preserve">M14 stress-test: M2 (Activation) and M7 (Window) may be asymmetric under reversal. This needs explicit verification.</w:t>
      </w:r>
    </w:p>
    <w:p>
      <w:pPr>
        <w:pStyle w:val="ListParagraph"/>
        <w:numPr>
          <w:ilvl w:val="0"/>
          <w:numId w:val="2"/>
        </w:numPr>
        <w:spacing w:after="60" w:before="60"/>
      </w:pPr>
      <w:r>
        <w:rPr>
          <w:rFonts w:ascii="Arial" w:cs="Arial" w:eastAsia="Arial" w:hAnsi="Arial"/>
          <w:sz w:val="22"/>
          <w:szCs w:val="22"/>
        </w:rPr>
        <w:t xml:space="preserve">Partial participation: at s=0, alignment rate = 0.316, not zero. This ‘partially participating’ regime is not addressed by current M-laws. M2 may need a sub-rule.</w:t>
      </w:r>
    </w:p>
    <w:p>
      <w:pPr>
        <w:pStyle w:val="ListParagraph"/>
        <w:numPr>
          <w:ilvl w:val="0"/>
          <w:numId w:val="2"/>
        </w:numPr>
        <w:spacing w:after="60" w:before="60"/>
      </w:pPr>
      <w:r>
        <w:rPr>
          <w:rFonts w:ascii="Arial" w:cs="Arial" w:eastAsia="Arial" w:hAnsi="Arial"/>
          <w:sz w:val="22"/>
          <w:szCs w:val="22"/>
        </w:rPr>
        <w:t xml:space="preserve">The handoff timing: does κ need to be above threshold before ε crosses s_crit, or can it build during the forced phase? Ordering matters and is unspecified.</w:t>
      </w:r>
    </w:p>
    <w:p>
      <w:pPr>
        <w:pStyle w:val="Heading2"/>
        <w:spacing w:after="120" w:before="280"/>
      </w:pPr>
      <w:r>
        <w:rPr>
          <w:rFonts w:ascii="Arial" w:cs="Arial" w:eastAsia="Arial" w:hAnsi="Arial"/>
          <w:b/>
          <w:bCs/>
          <w:color w:val="1A6B8A"/>
          <w:sz w:val="26"/>
          <w:szCs w:val="26"/>
        </w:rPr>
        <w:t xml:space="preserve">7.2 Empirical Next Steps</w:t>
      </w:r>
    </w:p>
    <w:p>
      <w:pPr>
        <w:pStyle w:val="ListParagraph"/>
        <w:numPr>
          <w:ilvl w:val="0"/>
          <w:numId w:val="2"/>
        </w:numPr>
        <w:spacing w:after="60" w:before="60"/>
      </w:pPr>
      <w:r>
        <w:rPr>
          <w:rFonts w:ascii="Arial" w:cs="Arial" w:eastAsia="Arial" w:hAnsi="Arial"/>
          <w:sz w:val="22"/>
          <w:szCs w:val="22"/>
        </w:rPr>
        <w:t xml:space="preserve">2D C++ multi-model ensembles to characterize spatial scaling of the threshold</w:t>
      </w:r>
    </w:p>
    <w:p>
      <w:pPr>
        <w:pStyle w:val="ListParagraph"/>
        <w:numPr>
          <w:ilvl w:val="0"/>
          <w:numId w:val="2"/>
        </w:numPr>
        <w:spacing w:after="60" w:before="60"/>
      </w:pPr>
      <w:r>
        <w:rPr>
          <w:rFonts w:ascii="Arial" w:cs="Arial" w:eastAsia="Arial" w:hAnsi="Arial"/>
          <w:sz w:val="22"/>
          <w:szCs w:val="22"/>
        </w:rPr>
        <w:t xml:space="preserve">Higher-resolution TDA modules for realignment front mapping</w:t>
      </w:r>
    </w:p>
    <w:p>
      <w:pPr>
        <w:pStyle w:val="ListParagraph"/>
        <w:numPr>
          <w:ilvl w:val="0"/>
          <w:numId w:val="2"/>
        </w:numPr>
        <w:spacing w:after="60" w:before="60"/>
      </w:pPr>
      <w:r>
        <w:rPr>
          <w:rFonts w:ascii="Arial" w:cs="Arial" w:eastAsia="Arial" w:hAnsi="Arial"/>
          <w:sz w:val="22"/>
          <w:szCs w:val="22"/>
        </w:rPr>
        <w:t xml:space="preserve">Explicit reporting of alignment_persistence_duration and spectral_entropy in future runs</w:t>
      </w:r>
    </w:p>
    <w:p>
      <w:pPr>
        <w:pStyle w:val="ListParagraph"/>
        <w:numPr>
          <w:ilvl w:val="0"/>
          <w:numId w:val="2"/>
        </w:numPr>
        <w:spacing w:after="60" w:before="60"/>
      </w:pPr>
      <w:r>
        <w:rPr>
          <w:rFonts w:ascii="Arial" w:cs="Arial" w:eastAsia="Arial" w:hAnsi="Arial"/>
          <w:sz w:val="22"/>
          <w:szCs w:val="22"/>
        </w:rPr>
        <w:t xml:space="preserve">Separate measurement protocol for κ threshold independent of s threshold</w:t>
      </w:r>
    </w:p>
    <w:p>
      <w:pPr>
        <w:pStyle w:val="Heading2"/>
        <w:spacing w:after="120" w:before="280"/>
      </w:pPr>
      <w:r>
        <w:rPr>
          <w:rFonts w:ascii="Arial" w:cs="Arial" w:eastAsia="Arial" w:hAnsi="Arial"/>
          <w:b/>
          <w:bCs/>
          <w:color w:val="1A6B8A"/>
          <w:sz w:val="26"/>
          <w:szCs w:val="26"/>
        </w:rPr>
        <w:t xml:space="preserve">7.3 Theoretical Development</w:t>
      </w:r>
    </w:p>
    <w:p>
      <w:pPr>
        <w:pStyle w:val="ListParagraph"/>
        <w:numPr>
          <w:ilvl w:val="0"/>
          <w:numId w:val="2"/>
        </w:numPr>
        <w:spacing w:after="60" w:before="60"/>
      </w:pPr>
      <w:r>
        <w:rPr>
          <w:rFonts w:ascii="Arial" w:cs="Arial" w:eastAsia="Arial" w:hAnsi="Arial"/>
          <w:sz w:val="22"/>
          <w:szCs w:val="22"/>
        </w:rPr>
        <w:t xml:space="preserve">Formalize the geometry derivation chain as a theorem sequence grounded in M6–M11</w:t>
      </w:r>
    </w:p>
    <w:p>
      <w:pPr>
        <w:pStyle w:val="ListParagraph"/>
        <w:numPr>
          <w:ilvl w:val="0"/>
          <w:numId w:val="2"/>
        </w:numPr>
        <w:spacing w:after="60" w:before="60"/>
      </w:pPr>
      <w:r>
        <w:rPr>
          <w:rFonts w:ascii="Arial" w:cs="Arial" w:eastAsia="Arial" w:hAnsi="Arial"/>
          <w:sz w:val="22"/>
          <w:szCs w:val="22"/>
        </w:rPr>
        <w:t xml:space="preserve">Develop the QM/GR allegory into a formal M14 consistency check</w:t>
      </w:r>
    </w:p>
    <w:p>
      <w:pPr>
        <w:pStyle w:val="ListParagraph"/>
        <w:numPr>
          <w:ilvl w:val="0"/>
          <w:numId w:val="2"/>
        </w:numPr>
        <w:spacing w:after="60" w:before="60"/>
      </w:pPr>
      <w:r>
        <w:rPr>
          <w:rFonts w:ascii="Arial" w:cs="Arial" w:eastAsia="Arial" w:hAnsi="Arial"/>
          <w:sz w:val="22"/>
          <w:szCs w:val="22"/>
        </w:rPr>
        <w:t xml:space="preserve">Consider whether the ⇔ recoupling operator needs explicit law-bible treatment</w:t>
      </w:r>
    </w:p>
    <w:p>
      <w:pPr>
        <w:pBdr>
          <w:bottom w:val="single" w:color="2E4057" w:sz="6" w:space="1"/>
        </w:pBdr>
        <w:spacing w:after="240" w:before="240"/>
      </w:pPr>
    </w:p>
    <w:p>
      <w:pPr>
        <w:spacing w:before="240"/>
        <w:jc w:val="center"/>
      </w:pPr>
      <w:r>
        <w:rPr>
          <w:rFonts w:ascii="Arial" w:cs="Arial" w:eastAsia="Arial" w:hAnsi="Arial"/>
          <w:i/>
          <w:iCs/>
          <w:color w:val="AAAAAA"/>
          <w:sz w:val="18"/>
          <w:szCs w:val="18"/>
        </w:rPr>
        <w:t xml:space="preserve">MPF Research — Session Capture — May 2026 — Charter v2.3 — All claims provisional per IGSOA mission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2026-05-03T04:47:27.591Z</dcterms:created>
  <dcterms:modified xsi:type="dcterms:W3CDTF">2026-05-03T04:47:27.593Z</dcterms:modified>
</cp:coreProperties>
</file>

<file path=docProps/custom.xml><?xml version="1.0" encoding="utf-8"?>
<Properties xmlns="http://schemas.openxmlformats.org/officeDocument/2006/custom-properties" xmlns:vt="http://schemas.openxmlformats.org/officeDocument/2006/docPropsVTypes"/>
</file>