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pPr>
      <w:r>
        <w:t xml:space="preserve"/>
      </w:r>
    </w:p>
    <w:p>
      <w:pPr>
        <w:spacing w:after="80" w:before="0"/>
        <w:jc w:val="center"/>
      </w:pPr>
      <w:r>
        <w:rPr>
          <w:rFonts w:ascii="Arial" w:cs="Arial" w:eastAsia="Arial" w:hAnsi="Arial"/>
          <w:b/>
          <w:bCs/>
          <w:caps/>
          <w:color w:val="1F4E79"/>
          <w:sz w:val="28"/>
          <w:szCs w:val="28"/>
        </w:rPr>
        <w:t xml:space="preserve">MONO-PROCESS FRAMEWORK</w:t>
      </w:r>
    </w:p>
    <w:p>
      <w:pPr>
        <w:spacing w:after="80" w:before="0"/>
        <w:jc w:val="center"/>
      </w:pPr>
      <w:r>
        <w:rPr>
          <w:rFonts w:ascii="Garamond" w:cs="Garamond" w:eastAsia="Garamond" w:hAnsi="Garamond"/>
          <w:i/>
          <w:iCs/>
          <w:color w:val="4A4A4A"/>
          <w:sz w:val="24"/>
          <w:szCs w:val="24"/>
        </w:rPr>
        <w:t xml:space="preserve">Theoretical Foundations Series</w:t>
      </w:r>
    </w:p>
    <w:p>
      <w:pPr>
        <w:spacing w:after="0" w:before="200"/>
      </w:pPr>
      <w:r>
        <w:t xml:space="preserve"/>
      </w:r>
    </w:p>
    <w:p>
      <w:pPr>
        <w:pBdr>
          <w:bottom w:val="single" w:color="1F4E79" w:sz="6"/>
        </w:pBdr>
        <w:spacing w:after="120" w:before="0"/>
        <w:jc w:val="center"/>
      </w:pPr>
      <w:r>
        <w:t xml:space="preserve"/>
      </w:r>
    </w:p>
    <w:p>
      <w:pPr>
        <w:spacing w:after="0" w:before="200"/>
      </w:pPr>
      <w:r>
        <w:t xml:space="preserve"/>
      </w:r>
    </w:p>
    <w:p>
      <w:pPr>
        <w:spacing w:after="80" w:before="0"/>
        <w:jc w:val="center"/>
      </w:pPr>
      <w:r>
        <w:rPr>
          <w:rFonts w:ascii="Arial" w:cs="Arial" w:eastAsia="Arial" w:hAnsi="Arial"/>
          <w:b/>
          <w:bCs/>
          <w:color w:val="2C2C2C"/>
          <w:sz w:val="36"/>
          <w:szCs w:val="36"/>
        </w:rPr>
        <w:t xml:space="preserve">The Core Biconditional and the M-Laws</w:t>
      </w:r>
    </w:p>
    <w:p>
      <w:pPr>
        <w:spacing w:after="80" w:before="0"/>
        <w:jc w:val="center"/>
      </w:pPr>
      <w:r>
        <w:rPr>
          <w:rFonts w:ascii="Garamond" w:cs="Garamond" w:eastAsia="Garamond" w:hAnsi="Garamond"/>
          <w:i/>
          <w:iCs/>
          <w:color w:val="4A4A4A"/>
          <w:sz w:val="26"/>
          <w:szCs w:val="26"/>
        </w:rPr>
        <w:t xml:space="preserve">Admissibility, Selection, Transport, and Derivation</w:t>
      </w:r>
    </w:p>
    <w:p>
      <w:pPr>
        <w:spacing w:after="0" w:before="200"/>
      </w:pPr>
      <w:r>
        <w:t xml:space="preserve"/>
      </w:r>
    </w:p>
    <w:p>
      <w:pPr>
        <w:spacing w:after="60" w:before="0"/>
        <w:jc w:val="center"/>
      </w:pPr>
      <w:r>
        <w:rPr>
          <w:rFonts w:ascii="Courier New" w:cs="Courier New" w:eastAsia="Courier New" w:hAnsi="Courier New"/>
          <w:b/>
          <w:bCs/>
          <w:color w:val="1F4E79"/>
          <w:sz w:val="22"/>
          <w:szCs w:val="22"/>
        </w:rPr>
        <w:t xml:space="preserve">Eα &gt; 0  ⇔R  x′α = xα + ΠAα ( Σβ∈CSI(α) NavT(ωα, ωβ) )</w:t>
      </w:r>
    </w:p>
    <w:p>
      <w:pPr>
        <w:spacing w:after="0" w:before="300"/>
      </w:pPr>
      <w:r>
        <w:t xml:space="preserve"/>
      </w:r>
    </w:p>
    <w:p>
      <w:pPr>
        <w:spacing w:after="60" w:before="0"/>
        <w:jc w:val="center"/>
      </w:pPr>
      <w:r>
        <w:rPr>
          <w:rFonts w:ascii="Garamond" w:cs="Garamond" w:eastAsia="Garamond" w:hAnsi="Garamond"/>
          <w:color w:val="4A4A4A"/>
          <w:sz w:val="20"/>
          <w:szCs w:val="20"/>
        </w:rPr>
        <w:t xml:space="preserve">Document cluster: </w:t>
      </w:r>
      <w:r>
        <w:rPr>
          <w:rFonts w:ascii="Courier New" w:cs="Courier New" w:eastAsia="Courier New" w:hAnsi="Courier New"/>
          <w:color w:val="1F4E79"/>
          <w:sz w:val="20"/>
          <w:szCs w:val="20"/>
        </w:rPr>
        <w:t xml:space="preserve">(ℰ ≠ 0) ⇔ δ(ℰ &gt; 0)</w:t>
      </w:r>
      <w:r>
        <w:rPr>
          <w:rFonts w:ascii="Garamond" w:cs="Garamond" w:eastAsia="Garamond" w:hAnsi="Garamond"/>
          <w:color w:val="4A4A4A"/>
          <w:sz w:val="20"/>
          <w:szCs w:val="20"/>
        </w:rPr>
        <w:t xml:space="preserve">  ·  </w:t>
      </w:r>
      <w:r>
        <w:rPr>
          <w:rFonts w:ascii="Courier New" w:cs="Courier New" w:eastAsia="Courier New" w:hAnsi="Courier New"/>
          <w:color w:val="1F4E79"/>
          <w:sz w:val="20"/>
          <w:szCs w:val="20"/>
        </w:rPr>
        <w:t xml:space="preserve">TN_MLaw_Derivation_v01</w:t>
      </w:r>
      <w:r>
        <w:rPr>
          <w:rFonts w:ascii="Garamond" w:cs="Garamond" w:eastAsia="Garamond" w:hAnsi="Garamond"/>
          <w:color w:val="4A4A4A"/>
          <w:sz w:val="20"/>
          <w:szCs w:val="20"/>
        </w:rPr>
        <w:t xml:space="preserve">  ·  </w:t>
      </w:r>
      <w:r>
        <w:rPr>
          <w:rFonts w:ascii="Courier New" w:cs="Courier New" w:eastAsia="Courier New" w:hAnsi="Courier New"/>
          <w:color w:val="1F4E79"/>
          <w:sz w:val="20"/>
          <w:szCs w:val="20"/>
        </w:rPr>
        <w:t xml:space="preserve">TN_Admissibility_Window_and_Local_R</w:t>
      </w:r>
    </w:p>
    <w:p>
      <w:pPr>
        <w:spacing w:after="40" w:before="40"/>
        <w:jc w:val="center"/>
      </w:pPr>
      <w:r>
        <w:rPr>
          <w:rFonts w:ascii="Garamond" w:cs="Garamond" w:eastAsia="Garamond" w:hAnsi="Garamond"/>
          <w:color w:val="4A4A4A"/>
          <w:sz w:val="20"/>
          <w:szCs w:val="20"/>
        </w:rPr>
        <w:t xml:space="preserve">Classification: </w:t>
      </w:r>
      <w:r>
        <w:rPr>
          <w:rFonts w:ascii="Garamond" w:cs="Garamond" w:eastAsia="Garamond" w:hAnsi="Garamond"/>
          <w:b/>
          <w:bCs/>
          <w:color w:val="8B1A1A"/>
          <w:sz w:val="20"/>
          <w:szCs w:val="20"/>
        </w:rPr>
        <w:t xml:space="preserve">theoretical (Charter v2.3)</w:t>
      </w:r>
    </w:p>
    <w:p>
      <w:pPr>
        <w:spacing w:after="40" w:before="40"/>
        <w:jc w:val="center"/>
      </w:pPr>
      <w:r>
        <w:rPr>
          <w:rFonts w:ascii="Garamond" w:cs="Garamond" w:eastAsia="Garamond" w:hAnsi="Garamond"/>
          <w:i/>
          <w:iCs/>
          <w:color w:val="4A4A4A"/>
          <w:sz w:val="20"/>
          <w:szCs w:val="20"/>
        </w:rPr>
        <w:t xml:space="preserve">Date: 2026-05-05  ·  Status: Draft — Gaps 1–3 require resolution</w:t>
      </w:r>
    </w:p>
    <w:p>
      <w:r>
        <w:br w:type="page"/>
      </w:r>
    </w:p>
    <w:p>
      <w:pPr>
        <w:pStyle w:val="Heading1"/>
        <w:pBdr>
          <w:bottom w:val="single" w:color="1F4E79" w:sz="4"/>
        </w:pBdr>
        <w:spacing w:after="120" w:before="360"/>
      </w:pPr>
      <w:r>
        <w:rPr>
          <w:rFonts w:ascii="Arial" w:cs="Arial" w:eastAsia="Arial" w:hAnsi="Arial"/>
          <w:b/>
          <w:bCs/>
          <w:color w:val="1F4E79"/>
          <w:sz w:val="30"/>
          <w:szCs w:val="30"/>
        </w:rPr>
        <w:t xml:space="preserve">Abstract</w:t>
      </w:r>
    </w:p>
    <w:p>
      <w:pPr>
        <w:spacing w:after="80" w:before="80" w:line="280"/>
        <w:jc w:val="both"/>
      </w:pPr>
      <w:r>
        <w:rPr>
          <w:rFonts w:ascii="Garamond" w:cs="Garamond" w:eastAsia="Garamond" w:hAnsi="Garamond"/>
          <w:b w:val="false"/>
          <w:bCs w:val="false"/>
          <w:i w:val="false"/>
          <w:iCs w:val="false"/>
          <w:color w:val="2C2C2C"/>
          <w:sz w:val="22"/>
          <w:szCs w:val="22"/>
        </w:rPr>
        <w:t xml:space="preserve">This document is a consolidated formal record synthesizing three related working documents in the Mono-Process Framework Theoretical Foundations Series: the core biconditional working capture, the M-Law derivation note (TN_MLaw_Derivation_v01), and the admissibility window and local reference companion note (TN_Admissibility_Window_and_Local_R). The three documents form a single chain of argument whose coherence this record makes explicit.</w:t>
      </w:r>
    </w:p>
    <w:p>
      <w:pPr>
        <w:spacing w:after="0" w:before="80"/>
      </w:pPr>
      <w:r>
        <w:t xml:space="preserve"/>
      </w:r>
    </w:p>
    <w:p>
      <w:pPr>
        <w:spacing w:after="80" w:before="80" w:line="280"/>
        <w:jc w:val="both"/>
      </w:pPr>
      <w:r>
        <w:rPr>
          <w:rFonts w:ascii="Garamond" w:cs="Garamond" w:eastAsia="Garamond" w:hAnsi="Garamond"/>
          <w:b w:val="false"/>
          <w:bCs w:val="false"/>
          <w:i w:val="false"/>
          <w:iCs w:val="false"/>
          <w:color w:val="2C2C2C"/>
          <w:sz w:val="22"/>
          <w:szCs w:val="22"/>
        </w:rPr>
        <w:t xml:space="preserve">The central claim is that the indexed update biconditional</w:t>
      </w:r>
    </w:p>
    <w:p>
      <w:pPr>
        <w:spacing w:after="0" w:before="40"/>
      </w:pPr>
      <w:r>
        <w:t xml:space="preserve"/>
      </w:r>
    </w:p>
    <w:p>
      <w:pPr>
        <w:spacing w:after="60" w:before="60"/>
        <w:ind w:left="720"/>
        <w:jc w:val="left"/>
      </w:pPr>
      <w:r>
        <w:rPr>
          <w:rFonts w:ascii="Courier New" w:cs="Courier New" w:eastAsia="Courier New" w:hAnsi="Courier New"/>
          <w:b w:val="false"/>
          <w:bCs w:val="false"/>
          <w:color w:val="1F4E79"/>
          <w:sz w:val="18"/>
          <w:szCs w:val="18"/>
        </w:rPr>
        <w:t xml:space="preserve">Eα &gt; 0  ⇔R  x′α = xα + ΠAα ( Σβ∈CSI(α) NavT(ωα, ωβ) )</w:t>
      </w:r>
    </w:p>
    <w:p>
      <w:pPr>
        <w:spacing w:after="0" w:before="40"/>
      </w:pPr>
      <w:r>
        <w:t xml:space="preserve"/>
      </w:r>
    </w:p>
    <w:p>
      <w:pPr>
        <w:spacing w:after="80" w:before="80" w:line="280"/>
        <w:jc w:val="both"/>
      </w:pPr>
      <w:r>
        <w:rPr>
          <w:rFonts w:ascii="Garamond" w:cs="Garamond" w:eastAsia="Garamond" w:hAnsi="Garamond"/>
          <w:b w:val="false"/>
          <w:bCs w:val="false"/>
          <w:i w:val="false"/>
          <w:iCs w:val="false"/>
          <w:color w:val="2C2C2C"/>
          <w:sz w:val="22"/>
          <w:szCs w:val="22"/>
        </w:rPr>
        <w:t xml:space="preserve">is generative with respect to the M-Laws of the framework: all fourteen laws are derivable as structural consequences of the expression, not merely summarized by it. Two laws match perfectly; eight are strongly supported; one is partial (M5); one is moderate (M8); one is a new law demanded by the expression (M10).</w:t>
      </w:r>
    </w:p>
    <w:p>
      <w:pPr>
        <w:spacing w:after="0" w:before="80"/>
      </w:pPr>
      <w:r>
        <w:t xml:space="preserve"/>
      </w:r>
    </w:p>
    <w:p>
      <w:pPr>
        <w:spacing w:after="80" w:before="80" w:line="280"/>
        <w:jc w:val="both"/>
      </w:pPr>
      <w:r>
        <w:rPr>
          <w:rFonts w:ascii="Garamond" w:cs="Garamond" w:eastAsia="Garamond" w:hAnsi="Garamond"/>
          <w:b w:val="false"/>
          <w:bCs w:val="false"/>
          <w:i w:val="false"/>
          <w:iCs w:val="false"/>
          <w:color w:val="2C2C2C"/>
          <w:sz w:val="22"/>
          <w:szCs w:val="22"/>
        </w:rPr>
        <w:t xml:space="preserve">Three definitional gaps prevent full closure: (1) the oriented structure of Aα, (2) the transport structure of NavT, and (3) the CSI formation rule. These gaps are partially ordered — Gap 1 must be resolved before Gap 3 can be closed — and candidate definitions are provided for each. The admissibility companion note supplies the role separation that prevents conflation of the admissibility domain, the selection operator, and the induced local reference, and provides a candidate closure for Gap 3.</w:t>
      </w:r>
    </w:p>
    <w:p>
      <w:pPr>
        <w:spacing w:after="0" w:before="80"/>
      </w:pPr>
      <w:r>
        <w:t xml:space="preserve"/>
      </w:r>
    </w:p>
    <w:p>
      <w:pPr>
        <w:spacing w:after="80" w:before="80" w:line="280"/>
        <w:jc w:val="both"/>
      </w:pPr>
      <w:r>
        <w:rPr>
          <w:rFonts w:ascii="Garamond" w:cs="Garamond" w:eastAsia="Garamond" w:hAnsi="Garamond"/>
          <w:b w:val="false"/>
          <w:bCs w:val="false"/>
          <w:i/>
          <w:iCs/>
          <w:color w:val="2C2C2C"/>
          <w:sz w:val="22"/>
          <w:szCs w:val="22"/>
        </w:rPr>
        <w:t xml:space="preserve">All results carry Charter v2.3 classification: theoretical. No simulation verification has been performed on the derived M-Law formulations.</w:t>
      </w:r>
    </w:p>
    <w:p>
      <w:pPr>
        <w:pStyle w:val="Heading1"/>
        <w:pBdr>
          <w:bottom w:val="single" w:color="1F4E79" w:sz="4"/>
        </w:pBdr>
        <w:spacing w:after="120" w:before="360"/>
      </w:pPr>
      <w:r>
        <w:rPr>
          <w:rFonts w:ascii="Arial" w:cs="Arial" w:eastAsia="Arial" w:hAnsi="Arial"/>
          <w:b/>
          <w:bCs/>
          <w:color w:val="1F4E79"/>
          <w:sz w:val="30"/>
          <w:szCs w:val="30"/>
        </w:rPr>
        <w:t xml:space="preserve">I.  The Core Biconditional</w:t>
      </w:r>
    </w:p>
    <w:p>
      <w:pPr>
        <w:pStyle w:val="Heading2"/>
        <w:spacing w:after="80" w:before="240"/>
      </w:pPr>
      <w:r>
        <w:rPr>
          <w:rFonts w:ascii="Arial" w:cs="Arial" w:eastAsia="Arial" w:hAnsi="Arial"/>
          <w:b/>
          <w:bCs/>
          <w:color w:val="2C2C2C"/>
          <w:sz w:val="24"/>
          <w:szCs w:val="24"/>
        </w:rPr>
        <w:t xml:space="preserve">I.1  Canonical Expression</w:t>
      </w:r>
    </w:p>
    <w:p>
      <w:pPr>
        <w:spacing w:after="80" w:before="80" w:line="280"/>
        <w:jc w:val="both"/>
      </w:pPr>
      <w:r>
        <w:rPr>
          <w:rFonts w:ascii="Garamond" w:cs="Garamond" w:eastAsia="Garamond" w:hAnsi="Garamond"/>
          <w:b w:val="false"/>
          <w:bCs w:val="false"/>
          <w:i w:val="false"/>
          <w:iCs w:val="false"/>
          <w:color w:val="2C2C2C"/>
          <w:sz w:val="22"/>
          <w:szCs w:val="22"/>
        </w:rPr>
        <w:t xml:space="preserve">The canonical core expression, used consistently across all three source documents, is the fully indexed state-update biconditional:</w:t>
      </w:r>
    </w:p>
    <w:p>
      <w:pPr>
        <w:spacing w:after="0" w:before="60"/>
      </w:pPr>
      <w:r>
        <w:t xml:space="preserve"/>
      </w:r>
    </w:p>
    <w:p>
      <w:pPr>
        <w:spacing w:after="60" w:before="60"/>
        <w:ind w:left="720"/>
        <w:jc w:val="left"/>
      </w:pPr>
      <w:r>
        <w:rPr>
          <w:rFonts w:ascii="Courier New" w:cs="Courier New" w:eastAsia="Courier New" w:hAnsi="Courier New"/>
          <w:b w:val="false"/>
          <w:bCs w:val="false"/>
          <w:color w:val="1F4E79"/>
          <w:sz w:val="18"/>
          <w:szCs w:val="18"/>
        </w:rPr>
        <w:t xml:space="preserve">Eα &gt; 0  ⇔R  x′α = xα + ΠAα ( Σβ∈CSI(α) NavT(ωα, ωβ) )</w:t>
      </w:r>
    </w:p>
    <w:p>
      <w:pPr>
        <w:spacing w:after="0" w:before="60"/>
      </w:pPr>
      <w:r>
        <w:t xml:space="preserve"/>
      </w:r>
    </w:p>
    <w:p>
      <w:pPr>
        <w:spacing w:after="80" w:before="80" w:line="280"/>
        <w:jc w:val="both"/>
      </w:pPr>
      <w:r>
        <w:rPr>
          <w:rFonts w:ascii="Garamond" w:cs="Garamond" w:eastAsia="Garamond" w:hAnsi="Garamond"/>
          <w:b w:val="false"/>
          <w:bCs w:val="false"/>
          <w:i w:val="false"/>
          <w:iCs w:val="false"/>
          <w:color w:val="2C2C2C"/>
          <w:sz w:val="22"/>
          <w:szCs w:val="22"/>
        </w:rPr>
        <w:t xml:space="preserve">This expression is genuinely biconditional. The existence condition and the update rule are mutually entailing under residue history R. It is not a one-way implication in disguise, and M14 (Closure Rule) is the metatheoretical enforcement of this fact.</w:t>
      </w:r>
    </w:p>
    <w:p>
      <w:pPr>
        <w:spacing w:after="0" w:before="80"/>
      </w:pPr>
      <w:r>
        <w:t xml:space="preserve"/>
      </w:r>
    </w:p>
    <w:p>
      <w:pPr>
        <w:pStyle w:val="Heading2"/>
        <w:spacing w:after="80" w:before="240"/>
      </w:pPr>
      <w:r>
        <w:rPr>
          <w:rFonts w:ascii="Arial" w:cs="Arial" w:eastAsia="Arial" w:hAnsi="Arial"/>
          <w:b/>
          <w:bCs/>
          <w:color w:val="2C2C2C"/>
          <w:sz w:val="24"/>
          <w:szCs w:val="24"/>
        </w:rPr>
        <w:t xml:space="preserve">I.2  Component Glossary</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F4E79" w:val="clear"/>
            <w:tcMar>
              <w:top w:type="dxa" w:w="80"/>
              <w:left w:type="dxa" w:w="160"/>
              <w:bottom w:type="dxa" w:w="80"/>
              <w:right w:type="dxa" w:w="80"/>
            </w:tcMar>
            <w:vAlign w:val="top"/>
          </w:tcPr>
          <w:p>
            <w:r>
              <w:rPr>
                <w:rFonts w:ascii="Courier New" w:cs="Courier New" w:eastAsia="Courier New" w:hAnsi="Courier New"/>
                <w:b/>
                <w:bCs/>
                <w:color w:val="FFFFFF"/>
                <w:sz w:val="20"/>
                <w:szCs w:val="20"/>
              </w:rPr>
              <w:t xml:space="preserve">Symbol</w:t>
            </w:r>
          </w:p>
        </w:tc>
        <w:tc>
          <w:tcPr>
            <w:tcW w:type="dxa" w:w="7160"/>
            <w:tcBorders>
              <w:top w:val="single" w:color="CCCCCC" w:sz="1"/>
              <w:left w:val="single" w:color="CCCCCC" w:sz="1"/>
              <w:bottom w:val="single" w:color="CCCCCC" w:sz="1"/>
              <w:right w:val="single" w:color="CCCCCC" w:sz="1"/>
            </w:tcBorders>
            <w:shd w:fill="1F4E79" w:val="clear"/>
            <w:tcMar>
              <w:top w:type="dxa" w:w="80"/>
              <w:left w:type="dxa" w:w="160"/>
              <w:bottom w:type="dxa" w:w="80"/>
              <w:right w:type="dxa" w:w="80"/>
            </w:tcMar>
            <w:vAlign w:val="top"/>
          </w:tcPr>
          <w:p>
            <w:r>
              <w:rPr>
                <w:rFonts w:ascii="Garamond" w:cs="Garamond" w:eastAsia="Garamond" w:hAnsi="Garamond"/>
                <w:color w:val="FFFFFF"/>
                <w:sz w:val="20"/>
                <w:szCs w:val="20"/>
              </w:rPr>
              <w:t xml:space="preserve">Role and interpretation</w:t>
            </w:r>
          </w:p>
        </w:tc>
      </w:tr>
      <w:tr>
        <w:tc>
          <w:tcPr>
            <w:tcW w:type="dxa" w:w="2200"/>
            <w:tcBorders>
              <w:top w:val="single" w:color="CCCCCC" w:sz="1"/>
              <w:left w:val="single" w:color="CCCCCC" w:sz="1"/>
              <w:bottom w:val="single" w:color="CCCCCC" w:sz="1"/>
              <w:right w:val="single" w:color="CCCCCC" w:sz="1"/>
            </w:tcBorders>
            <w:shd w:fill="F7F7F7" w:val="clear"/>
            <w:tcMar>
              <w:top w:type="dxa" w:w="80"/>
              <w:left w:type="dxa" w:w="160"/>
              <w:bottom w:type="dxa" w:w="80"/>
              <w:right w:type="dxa" w:w="80"/>
            </w:tcMar>
            <w:vAlign w:val="top"/>
          </w:tcPr>
          <w:p>
            <w:r>
              <w:rPr>
                <w:rFonts w:ascii="Courier New" w:cs="Courier New" w:eastAsia="Courier New" w:hAnsi="Courier New"/>
                <w:b/>
                <w:bCs/>
                <w:color w:val="1F4E79"/>
                <w:sz w:val="18"/>
                <w:szCs w:val="18"/>
              </w:rPr>
              <w:t xml:space="preserve">Eα</w:t>
            </w:r>
          </w:p>
        </w:tc>
        <w:tc>
          <w:tcPr>
            <w:tcW w:type="dxa" w:w="7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80"/>
            </w:tcMar>
            <w:vAlign w:val="top"/>
          </w:tcPr>
          <w:p>
            <w:r>
              <w:rPr>
                <w:rFonts w:ascii="Garamond" w:cs="Garamond" w:eastAsia="Garamond" w:hAnsi="Garamond"/>
                <w:color w:val="2C2C2C"/>
                <w:sz w:val="20"/>
                <w:szCs w:val="20"/>
              </w:rPr>
              <w:t xml:space="preserve">Total deviation magnitude for process α; the existence scalar. Non-zero iff α is participating.</w:t>
            </w:r>
          </w:p>
        </w:tc>
      </w:tr>
      <w:tr>
        <w:tc>
          <w:tcPr>
            <w:tcW w:type="dxa" w:w="2200"/>
            <w:tcBorders>
              <w:top w:val="single" w:color="CCCCCC" w:sz="1"/>
              <w:left w:val="single" w:color="CCCCCC" w:sz="1"/>
              <w:bottom w:val="single" w:color="CCCCCC" w:sz="1"/>
              <w:right w:val="single" w:color="CCCCCC" w:sz="1"/>
            </w:tcBorders>
            <w:shd w:fill="F7F7F7" w:val="clear"/>
            <w:tcMar>
              <w:top w:type="dxa" w:w="80"/>
              <w:left w:type="dxa" w:w="160"/>
              <w:bottom w:type="dxa" w:w="80"/>
              <w:right w:type="dxa" w:w="80"/>
            </w:tcMar>
            <w:vAlign w:val="top"/>
          </w:tcPr>
          <w:p>
            <w:r>
              <w:rPr>
                <w:rFonts w:ascii="Courier New" w:cs="Courier New" w:eastAsia="Courier New" w:hAnsi="Courier New"/>
                <w:b/>
                <w:bCs/>
                <w:color w:val="1F4E79"/>
                <w:sz w:val="18"/>
                <w:szCs w:val="18"/>
              </w:rPr>
              <w:t xml:space="preserve">⇔R</w:t>
            </w:r>
          </w:p>
        </w:tc>
        <w:tc>
          <w:tcPr>
            <w:tcW w:type="dxa" w:w="7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80"/>
            </w:tcMar>
            <w:vAlign w:val="top"/>
          </w:tcPr>
          <w:p>
            <w:r>
              <w:rPr>
                <w:rFonts w:ascii="Garamond" w:cs="Garamond" w:eastAsia="Garamond" w:hAnsi="Garamond"/>
                <w:color w:val="2C2C2C"/>
                <w:sz w:val="20"/>
                <w:szCs w:val="20"/>
              </w:rPr>
              <w:t xml:space="preserve">Residue-indexed biconditional. Not bare logical equivalence: R is doing real work in every evaluation, historically gating the coupling.</w:t>
            </w:r>
          </w:p>
        </w:tc>
      </w:tr>
      <w:tr>
        <w:tc>
          <w:tcPr>
            <w:tcW w:type="dxa" w:w="2200"/>
            <w:tcBorders>
              <w:top w:val="single" w:color="CCCCCC" w:sz="1"/>
              <w:left w:val="single" w:color="CCCCCC" w:sz="1"/>
              <w:bottom w:val="single" w:color="CCCCCC" w:sz="1"/>
              <w:right w:val="single" w:color="CCCCCC" w:sz="1"/>
            </w:tcBorders>
            <w:shd w:fill="F7F7F7" w:val="clear"/>
            <w:tcMar>
              <w:top w:type="dxa" w:w="80"/>
              <w:left w:type="dxa" w:w="160"/>
              <w:bottom w:type="dxa" w:w="80"/>
              <w:right w:type="dxa" w:w="80"/>
            </w:tcMar>
            <w:vAlign w:val="top"/>
          </w:tcPr>
          <w:p>
            <w:r>
              <w:rPr>
                <w:rFonts w:ascii="Courier New" w:cs="Courier New" w:eastAsia="Courier New" w:hAnsi="Courier New"/>
                <w:b/>
                <w:bCs/>
                <w:color w:val="1F4E79"/>
                <w:sz w:val="18"/>
                <w:szCs w:val="18"/>
              </w:rPr>
              <w:t xml:space="preserve">xα</w:t>
            </w:r>
          </w:p>
        </w:tc>
        <w:tc>
          <w:tcPr>
            <w:tcW w:type="dxa" w:w="7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80"/>
            </w:tcMar>
            <w:vAlign w:val="top"/>
          </w:tcPr>
          <w:p>
            <w:r>
              <w:rPr>
                <w:rFonts w:ascii="Garamond" w:cs="Garamond" w:eastAsia="Garamond" w:hAnsi="Garamond"/>
                <w:color w:val="2C2C2C"/>
                <w:sz w:val="20"/>
                <w:szCs w:val="20"/>
              </w:rPr>
              <w:t xml:space="preserve">Current state of process α.</w:t>
            </w:r>
          </w:p>
        </w:tc>
      </w:tr>
      <w:tr>
        <w:tc>
          <w:tcPr>
            <w:tcW w:type="dxa" w:w="2200"/>
            <w:tcBorders>
              <w:top w:val="single" w:color="CCCCCC" w:sz="1"/>
              <w:left w:val="single" w:color="CCCCCC" w:sz="1"/>
              <w:bottom w:val="single" w:color="CCCCCC" w:sz="1"/>
              <w:right w:val="single" w:color="CCCCCC" w:sz="1"/>
            </w:tcBorders>
            <w:shd w:fill="F7F7F7" w:val="clear"/>
            <w:tcMar>
              <w:top w:type="dxa" w:w="80"/>
              <w:left w:type="dxa" w:w="160"/>
              <w:bottom w:type="dxa" w:w="80"/>
              <w:right w:type="dxa" w:w="80"/>
            </w:tcMar>
            <w:vAlign w:val="top"/>
          </w:tcPr>
          <w:p>
            <w:r>
              <w:rPr>
                <w:rFonts w:ascii="Courier New" w:cs="Courier New" w:eastAsia="Courier New" w:hAnsi="Courier New"/>
                <w:b/>
                <w:bCs/>
                <w:color w:val="1F4E79"/>
                <w:sz w:val="18"/>
                <w:szCs w:val="18"/>
              </w:rPr>
              <w:t xml:space="preserve">x′α</w:t>
            </w:r>
          </w:p>
        </w:tc>
        <w:tc>
          <w:tcPr>
            <w:tcW w:type="dxa" w:w="7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80"/>
            </w:tcMar>
            <w:vAlign w:val="top"/>
          </w:tcPr>
          <w:p>
            <w:r>
              <w:rPr>
                <w:rFonts w:ascii="Garamond" w:cs="Garamond" w:eastAsia="Garamond" w:hAnsi="Garamond"/>
                <w:color w:val="2C2C2C"/>
                <w:sz w:val="20"/>
                <w:szCs w:val="20"/>
              </w:rPr>
              <w:t xml:space="preserve">Updated state after one continuation step.</w:t>
            </w:r>
          </w:p>
        </w:tc>
      </w:tr>
      <w:tr>
        <w:tc>
          <w:tcPr>
            <w:tcW w:type="dxa" w:w="2200"/>
            <w:tcBorders>
              <w:top w:val="single" w:color="CCCCCC" w:sz="1"/>
              <w:left w:val="single" w:color="CCCCCC" w:sz="1"/>
              <w:bottom w:val="single" w:color="CCCCCC" w:sz="1"/>
              <w:right w:val="single" w:color="CCCCCC" w:sz="1"/>
            </w:tcBorders>
            <w:shd w:fill="F7F7F7" w:val="clear"/>
            <w:tcMar>
              <w:top w:type="dxa" w:w="80"/>
              <w:left w:type="dxa" w:w="160"/>
              <w:bottom w:type="dxa" w:w="80"/>
              <w:right w:type="dxa" w:w="80"/>
            </w:tcMar>
            <w:vAlign w:val="top"/>
          </w:tcPr>
          <w:p>
            <w:r>
              <w:rPr>
                <w:rFonts w:ascii="Courier New" w:cs="Courier New" w:eastAsia="Courier New" w:hAnsi="Courier New"/>
                <w:b/>
                <w:bCs/>
                <w:color w:val="1F4E79"/>
                <w:sz w:val="18"/>
                <w:szCs w:val="18"/>
              </w:rPr>
              <w:t xml:space="preserve">ΠAα</w:t>
            </w:r>
          </w:p>
        </w:tc>
        <w:tc>
          <w:tcPr>
            <w:tcW w:type="dxa" w:w="7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80"/>
            </w:tcMar>
            <w:vAlign w:val="top"/>
          </w:tcPr>
          <w:p>
            <w:r>
              <w:rPr>
                <w:rFonts w:ascii="Garamond" w:cs="Garamond" w:eastAsia="Garamond" w:hAnsi="Garamond"/>
                <w:color w:val="2C2C2C"/>
                <w:sz w:val="20"/>
                <w:szCs w:val="20"/>
              </w:rPr>
              <w:t xml:space="preserve">Projection/filter onto the admissibility window Aα. Discards inadmissible components of the transport sum before update.</w:t>
            </w:r>
          </w:p>
        </w:tc>
      </w:tr>
      <w:tr>
        <w:tc>
          <w:tcPr>
            <w:tcW w:type="dxa" w:w="2200"/>
            <w:tcBorders>
              <w:top w:val="single" w:color="CCCCCC" w:sz="1"/>
              <w:left w:val="single" w:color="CCCCCC" w:sz="1"/>
              <w:bottom w:val="single" w:color="CCCCCC" w:sz="1"/>
              <w:right w:val="single" w:color="CCCCCC" w:sz="1"/>
            </w:tcBorders>
            <w:shd w:fill="F7F7F7" w:val="clear"/>
            <w:tcMar>
              <w:top w:type="dxa" w:w="80"/>
              <w:left w:type="dxa" w:w="160"/>
              <w:bottom w:type="dxa" w:w="80"/>
              <w:right w:type="dxa" w:w="80"/>
            </w:tcMar>
            <w:vAlign w:val="top"/>
          </w:tcPr>
          <w:p>
            <w:r>
              <w:rPr>
                <w:rFonts w:ascii="Courier New" w:cs="Courier New" w:eastAsia="Courier New" w:hAnsi="Courier New"/>
                <w:b/>
                <w:bCs/>
                <w:color w:val="1F4E79"/>
                <w:sz w:val="18"/>
                <w:szCs w:val="18"/>
              </w:rPr>
              <w:t xml:space="preserve">CSI(α)</w:t>
            </w:r>
          </w:p>
        </w:tc>
        <w:tc>
          <w:tcPr>
            <w:tcW w:type="dxa" w:w="7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80"/>
            </w:tcMar>
            <w:vAlign w:val="top"/>
          </w:tcPr>
          <w:p>
            <w:r>
              <w:rPr>
                <w:rFonts w:ascii="Garamond" w:cs="Garamond" w:eastAsia="Garamond" w:hAnsi="Garamond"/>
                <w:color w:val="2C2C2C"/>
                <w:sz w:val="20"/>
                <w:szCs w:val="20"/>
              </w:rPr>
              <w:t xml:space="preserve">Coherent source interface: the set of processes β currently coupled to α. Membership rule required (Gap 3).</w:t>
            </w:r>
          </w:p>
        </w:tc>
      </w:tr>
      <w:tr>
        <w:tc>
          <w:tcPr>
            <w:tcW w:type="dxa" w:w="2200"/>
            <w:tcBorders>
              <w:top w:val="single" w:color="CCCCCC" w:sz="1"/>
              <w:left w:val="single" w:color="CCCCCC" w:sz="1"/>
              <w:bottom w:val="single" w:color="CCCCCC" w:sz="1"/>
              <w:right w:val="single" w:color="CCCCCC" w:sz="1"/>
            </w:tcBorders>
            <w:shd w:fill="F7F7F7" w:val="clear"/>
            <w:tcMar>
              <w:top w:type="dxa" w:w="80"/>
              <w:left w:type="dxa" w:w="160"/>
              <w:bottom w:type="dxa" w:w="80"/>
              <w:right w:type="dxa" w:w="80"/>
            </w:tcMar>
            <w:vAlign w:val="top"/>
          </w:tcPr>
          <w:p>
            <w:r>
              <w:rPr>
                <w:rFonts w:ascii="Courier New" w:cs="Courier New" w:eastAsia="Courier New" w:hAnsi="Courier New"/>
                <w:b/>
                <w:bCs/>
                <w:color w:val="1F4E79"/>
                <w:sz w:val="18"/>
                <w:szCs w:val="18"/>
              </w:rPr>
              <w:t xml:space="preserve">NavT(ωα, ωβ)</w:t>
            </w:r>
          </w:p>
        </w:tc>
        <w:tc>
          <w:tcPr>
            <w:tcW w:type="dxa" w:w="7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80"/>
            </w:tcMar>
            <w:vAlign w:val="top"/>
          </w:tcPr>
          <w:p>
            <w:r>
              <w:rPr>
                <w:rFonts w:ascii="Garamond" w:cs="Garamond" w:eastAsia="Garamond" w:hAnsi="Garamond"/>
                <w:color w:val="2C2C2C"/>
                <w:sz w:val="20"/>
                <w:szCs w:val="20"/>
              </w:rPr>
              <w:t xml:space="preserve">Navigated transport of the phase relationship between α and β; the deviation contribution of β to α's update. Transport frame T must be defined (Gap 2).</w:t>
            </w:r>
          </w:p>
        </w:tc>
      </w:tr>
      <w:tr>
        <w:tc>
          <w:tcPr>
            <w:tcW w:type="dxa" w:w="2200"/>
            <w:tcBorders>
              <w:top w:val="single" w:color="CCCCCC" w:sz="1"/>
              <w:left w:val="single" w:color="CCCCCC" w:sz="1"/>
              <w:bottom w:val="single" w:color="CCCCCC" w:sz="1"/>
              <w:right w:val="single" w:color="CCCCCC" w:sz="1"/>
            </w:tcBorders>
            <w:shd w:fill="F7F7F7" w:val="clear"/>
            <w:tcMar>
              <w:top w:type="dxa" w:w="80"/>
              <w:left w:type="dxa" w:w="160"/>
              <w:bottom w:type="dxa" w:w="80"/>
              <w:right w:type="dxa" w:w="80"/>
            </w:tcMar>
            <w:vAlign w:val="top"/>
          </w:tcPr>
          <w:p>
            <w:r>
              <w:rPr>
                <w:rFonts w:ascii="Courier New" w:cs="Courier New" w:eastAsia="Courier New" w:hAnsi="Courier New"/>
                <w:b/>
                <w:bCs/>
                <w:color w:val="1F4E79"/>
                <w:sz w:val="18"/>
                <w:szCs w:val="18"/>
              </w:rPr>
              <w:t xml:space="preserve">Aα</w:t>
            </w:r>
          </w:p>
        </w:tc>
        <w:tc>
          <w:tcPr>
            <w:tcW w:type="dxa" w:w="7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80"/>
            </w:tcMar>
            <w:vAlign w:val="top"/>
          </w:tcPr>
          <w:p>
            <w:r>
              <w:rPr>
                <w:rFonts w:ascii="Garamond" w:cs="Garamond" w:eastAsia="Garamond" w:hAnsi="Garamond"/>
                <w:color w:val="2C2C2C"/>
                <w:sz w:val="20"/>
                <w:szCs w:val="20"/>
              </w:rPr>
              <w:t xml:space="preserve">Admissibility window for α: the constraint domain of allowed continuation increments. Oriented structure required (Gap 1).</w:t>
            </w:r>
          </w:p>
        </w:tc>
      </w:tr>
      <w:tr>
        <w:tc>
          <w:tcPr>
            <w:tcW w:type="dxa" w:w="2200"/>
            <w:tcBorders>
              <w:top w:val="single" w:color="CCCCCC" w:sz="1"/>
              <w:left w:val="single" w:color="CCCCCC" w:sz="1"/>
              <w:bottom w:val="single" w:color="CCCCCC" w:sz="1"/>
              <w:right w:val="single" w:color="CCCCCC" w:sz="1"/>
            </w:tcBorders>
            <w:shd w:fill="F7F7F7" w:val="clear"/>
            <w:tcMar>
              <w:top w:type="dxa" w:w="80"/>
              <w:left w:type="dxa" w:w="160"/>
              <w:bottom w:type="dxa" w:w="80"/>
              <w:right w:type="dxa" w:w="80"/>
            </w:tcMar>
            <w:vAlign w:val="top"/>
          </w:tcPr>
          <w:p>
            <w:r>
              <w:rPr>
                <w:rFonts w:ascii="Courier New" w:cs="Courier New" w:eastAsia="Courier New" w:hAnsi="Courier New"/>
                <w:b/>
                <w:bCs/>
                <w:color w:val="1F4E79"/>
                <w:sz w:val="18"/>
                <w:szCs w:val="18"/>
              </w:rPr>
              <w:t xml:space="preserve">ωα</w:t>
            </w:r>
          </w:p>
        </w:tc>
        <w:tc>
          <w:tcPr>
            <w:tcW w:type="dxa" w:w="7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80"/>
            </w:tcMar>
            <w:vAlign w:val="top"/>
          </w:tcPr>
          <w:p>
            <w:r>
              <w:rPr>
                <w:rFonts w:ascii="Garamond" w:cs="Garamond" w:eastAsia="Garamond" w:hAnsi="Garamond"/>
                <w:color w:val="2C2C2C"/>
                <w:sz w:val="20"/>
                <w:szCs w:val="20"/>
              </w:rPr>
              <w:t xml:space="preserve">Phase-like state descriptor for α; input to transport.</w:t>
            </w:r>
          </w:p>
        </w:tc>
      </w:tr>
      <w:tr>
        <w:tc>
          <w:tcPr>
            <w:tcW w:type="dxa" w:w="2200"/>
            <w:tcBorders>
              <w:top w:val="single" w:color="CCCCCC" w:sz="1"/>
              <w:left w:val="single" w:color="CCCCCC" w:sz="1"/>
              <w:bottom w:val="single" w:color="CCCCCC" w:sz="1"/>
              <w:right w:val="single" w:color="CCCCCC" w:sz="1"/>
            </w:tcBorders>
            <w:shd w:fill="F7F7F7" w:val="clear"/>
            <w:tcMar>
              <w:top w:type="dxa" w:w="80"/>
              <w:left w:type="dxa" w:w="160"/>
              <w:bottom w:type="dxa" w:w="80"/>
              <w:right w:type="dxa" w:w="80"/>
            </w:tcMar>
            <w:vAlign w:val="top"/>
          </w:tcPr>
          <w:p>
            <w:r>
              <w:rPr>
                <w:rFonts w:ascii="Courier New" w:cs="Courier New" w:eastAsia="Courier New" w:hAnsi="Courier New"/>
                <w:b/>
                <w:bCs/>
                <w:color w:val="1F4E79"/>
                <w:sz w:val="18"/>
                <w:szCs w:val="18"/>
              </w:rPr>
              <w:t xml:space="preserve">−(i)α</w:t>
            </w:r>
          </w:p>
        </w:tc>
        <w:tc>
          <w:tcPr>
            <w:tcW w:type="dxa" w:w="7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80"/>
            </w:tcMar>
            <w:vAlign w:val="top"/>
          </w:tcPr>
          <w:p>
            <w:r>
              <w:rPr>
                <w:rFonts w:ascii="Garamond" w:cs="Garamond" w:eastAsia="Garamond" w:hAnsi="Garamond"/>
                <w:color w:val="2C2C2C"/>
                <w:sz w:val="20"/>
                <w:szCs w:val="20"/>
              </w:rPr>
              <w:t xml:space="preserve">Induced local reference/orientation; output of selection O* acting within Aα. Not a primitive input.</w:t>
            </w:r>
          </w:p>
        </w:tc>
      </w:tr>
      <w:tr>
        <w:tc>
          <w:tcPr>
            <w:tcW w:type="dxa" w:w="2200"/>
            <w:tcBorders>
              <w:top w:val="single" w:color="CCCCCC" w:sz="1"/>
              <w:left w:val="single" w:color="CCCCCC" w:sz="1"/>
              <w:bottom w:val="single" w:color="CCCCCC" w:sz="1"/>
              <w:right w:val="single" w:color="CCCCCC" w:sz="1"/>
            </w:tcBorders>
            <w:shd w:fill="F7F7F7" w:val="clear"/>
            <w:tcMar>
              <w:top w:type="dxa" w:w="80"/>
              <w:left w:type="dxa" w:w="160"/>
              <w:bottom w:type="dxa" w:w="80"/>
              <w:right w:type="dxa" w:w="80"/>
            </w:tcMar>
            <w:vAlign w:val="top"/>
          </w:tcPr>
          <w:p>
            <w:r>
              <w:rPr>
                <w:rFonts w:ascii="Courier New" w:cs="Courier New" w:eastAsia="Courier New" w:hAnsi="Courier New"/>
                <w:b/>
                <w:bCs/>
                <w:color w:val="1F4E79"/>
                <w:sz w:val="18"/>
                <w:szCs w:val="18"/>
              </w:rPr>
              <w:t xml:space="preserve">R</w:t>
            </w:r>
          </w:p>
        </w:tc>
        <w:tc>
          <w:tcPr>
            <w:tcW w:type="dxa" w:w="7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80"/>
            </w:tcMar>
            <w:vAlign w:val="top"/>
          </w:tcPr>
          <w:p>
            <w:r>
              <w:rPr>
                <w:rFonts w:ascii="Garamond" w:cs="Garamond" w:eastAsia="Garamond" w:hAnsi="Garamond"/>
                <w:color w:val="2C2C2C"/>
                <w:sz w:val="20"/>
                <w:szCs w:val="20"/>
              </w:rPr>
              <w:t xml:space="preserve">Residue state; encodes prior realizations and conditions all future gate evaluations.</w:t>
            </w:r>
          </w:p>
        </w:tc>
      </w:tr>
      <w:tr>
        <w:tc>
          <w:tcPr>
            <w:tcW w:type="dxa" w:w="2200"/>
            <w:tcBorders>
              <w:top w:val="single" w:color="CCCCCC" w:sz="1"/>
              <w:left w:val="single" w:color="CCCCCC" w:sz="1"/>
              <w:bottom w:val="single" w:color="CCCCCC" w:sz="1"/>
              <w:right w:val="single" w:color="CCCCCC" w:sz="1"/>
            </w:tcBorders>
            <w:shd w:fill="F7F7F7" w:val="clear"/>
            <w:tcMar>
              <w:top w:type="dxa" w:w="80"/>
              <w:left w:type="dxa" w:w="160"/>
              <w:bottom w:type="dxa" w:w="80"/>
              <w:right w:type="dxa" w:w="80"/>
            </w:tcMar>
            <w:vAlign w:val="top"/>
          </w:tcPr>
          <w:p>
            <w:r>
              <w:rPr>
                <w:rFonts w:ascii="Courier New" w:cs="Courier New" w:eastAsia="Courier New" w:hAnsi="Courier New"/>
                <w:b/>
                <w:bCs/>
                <w:color w:val="1F4E79"/>
                <w:sz w:val="18"/>
                <w:szCs w:val="18"/>
              </w:rPr>
              <w:t xml:space="preserve">ρα</w:t>
            </w:r>
          </w:p>
        </w:tc>
        <w:tc>
          <w:tcPr>
            <w:tcW w:type="dxa" w:w="7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80"/>
            </w:tcMar>
            <w:vAlign w:val="top"/>
          </w:tcPr>
          <w:p>
            <w:r>
              <w:rPr>
                <w:rFonts w:ascii="Garamond" w:cs="Garamond" w:eastAsia="Garamond" w:hAnsi="Garamond"/>
                <w:color w:val="2C2C2C"/>
                <w:sz w:val="20"/>
                <w:szCs w:val="20"/>
              </w:rPr>
              <w:t xml:space="preserve">Continuation capacity for α.</w:t>
            </w:r>
          </w:p>
        </w:tc>
      </w:tr>
      <w:tr>
        <w:tc>
          <w:tcPr>
            <w:tcW w:type="dxa" w:w="2200"/>
            <w:tcBorders>
              <w:top w:val="single" w:color="CCCCCC" w:sz="1"/>
              <w:left w:val="single" w:color="CCCCCC" w:sz="1"/>
              <w:bottom w:val="single" w:color="CCCCCC" w:sz="1"/>
              <w:right w:val="single" w:color="CCCCCC" w:sz="1"/>
            </w:tcBorders>
            <w:shd w:fill="F7F7F7" w:val="clear"/>
            <w:tcMar>
              <w:top w:type="dxa" w:w="80"/>
              <w:left w:type="dxa" w:w="160"/>
              <w:bottom w:type="dxa" w:w="80"/>
              <w:right w:type="dxa" w:w="80"/>
            </w:tcMar>
            <w:vAlign w:val="top"/>
          </w:tcPr>
          <w:p>
            <w:r>
              <w:rPr>
                <w:rFonts w:ascii="Courier New" w:cs="Courier New" w:eastAsia="Courier New" w:hAnsi="Courier New"/>
                <w:b/>
                <w:bCs/>
                <w:color w:val="1F4E79"/>
                <w:sz w:val="18"/>
                <w:szCs w:val="18"/>
              </w:rPr>
              <w:t xml:space="preserve">κ / λ</w:t>
            </w:r>
          </w:p>
        </w:tc>
        <w:tc>
          <w:tcPr>
            <w:tcW w:type="dxa" w:w="7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80"/>
            </w:tcMar>
            <w:vAlign w:val="top"/>
          </w:tcPr>
          <w:p>
            <w:r>
              <w:rPr>
                <w:rFonts w:ascii="Garamond" w:cs="Garamond" w:eastAsia="Garamond" w:hAnsi="Garamond"/>
                <w:color w:val="2C2C2C"/>
                <w:sz w:val="20"/>
                <w:szCs w:val="20"/>
              </w:rPr>
              <w:t xml:space="preserve">Inscription rate / decay rate governing residue evolution.</w:t>
            </w:r>
          </w:p>
        </w:tc>
      </w:tr>
    </w:tbl>
    <w:p>
      <w:pPr>
        <w:spacing w:after="0" w:before="80"/>
      </w:pPr>
      <w:r>
        <w:t xml:space="preserve"/>
      </w:r>
    </w:p>
    <w:p>
      <w:pPr>
        <w:pStyle w:val="Heading2"/>
        <w:spacing w:after="80" w:before="240"/>
      </w:pPr>
      <w:r>
        <w:rPr>
          <w:rFonts w:ascii="Arial" w:cs="Arial" w:eastAsia="Arial" w:hAnsi="Arial"/>
          <w:b/>
          <w:bCs/>
          <w:color w:val="2C2C2C"/>
          <w:sz w:val="24"/>
          <w:szCs w:val="24"/>
        </w:rPr>
        <w:t xml:space="preserve">I.3  Three-Region Reading</w:t>
      </w:r>
    </w:p>
    <w:p>
      <w:pPr>
        <w:spacing w:after="80" w:before="80" w:line="280"/>
        <w:jc w:val="both"/>
      </w:pPr>
      <w:r>
        <w:rPr>
          <w:rFonts w:ascii="Garamond" w:cs="Garamond" w:eastAsia="Garamond" w:hAnsi="Garamond"/>
          <w:b w:val="false"/>
          <w:bCs w:val="false"/>
          <w:i w:val="false"/>
          <w:iCs w:val="false"/>
          <w:color w:val="2C2C2C"/>
          <w:sz w:val="22"/>
          <w:szCs w:val="22"/>
        </w:rPr>
        <w:t xml:space="preserve">The expression organizes into three coupled regions, corresponding to the three structural regions identified in the working capture: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8"/>
              <w:left w:val="single" w:color="1F4E79" w:sz="8"/>
              <w:bottom w:val="single" w:color="CCCCCC" w:sz="1"/>
              <w:right w:val="single" w:color="CCCCCC" w:sz="1"/>
            </w:tcBorders>
            <w:shd w:fill="EAF2FB" w:val="clear"/>
            <w:tcMar>
              <w:top w:type="dxa" w:w="100"/>
              <w:left w:type="dxa" w:w="200"/>
              <w:bottom w:type="dxa" w:w="100"/>
              <w:right w:type="dxa" w:w="200"/>
            </w:tcMar>
          </w:tcPr>
          <w:p>
            <w:pPr>
              <w:spacing w:after="60" w:before="0"/>
            </w:pPr>
            <w:r>
              <w:rPr>
                <w:rFonts w:ascii="Arial" w:cs="Arial" w:eastAsia="Arial" w:hAnsi="Arial"/>
                <w:b/>
                <w:bCs/>
                <w:color w:val="1F4E79"/>
                <w:sz w:val="20"/>
                <w:szCs w:val="20"/>
              </w:rPr>
              <w:t xml:space="preserve">EXISTENCE REGION  (Eα &gt; 0)</w:t>
            </w:r>
          </w:p>
          <w:p>
            <w:pPr>
              <w:spacing w:after="40" w:before="0"/>
            </w:pPr>
            <w:r>
              <w:rPr>
                <w:rFonts w:ascii="Garamond" w:cs="Garamond" w:eastAsia="Garamond" w:hAnsi="Garamond"/>
                <w:color w:val="2C2C2C"/>
                <w:sz w:val="20"/>
                <w:szCs w:val="20"/>
              </w:rPr>
              <w:t xml:space="preserve">Non-null participation: α is active and distinguishable.</w:t>
            </w:r>
          </w:p>
          <w:p>
            <w:pPr>
              <w:spacing w:after="40" w:before="0"/>
            </w:pPr>
            <w:r>
              <w:rPr>
                <w:rFonts w:ascii="Garamond" w:cs="Garamond" w:eastAsia="Garamond" w:hAnsi="Garamond"/>
                <w:color w:val="2C2C2C"/>
                <w:sz w:val="20"/>
                <w:szCs w:val="20"/>
              </w:rPr>
              <w:t xml:space="preserve">Mathematical family: topology, information-theoretic divergence, threshold logic.</w:t>
            </w:r>
          </w:p>
          <w:p>
            <w:pPr>
              <w:spacing w:after="40" w:before="0"/>
            </w:pPr>
            <w:r>
              <w:rPr>
                <w:rFonts w:ascii="Garamond" w:cs="Garamond" w:eastAsia="Garamond" w:hAnsi="Garamond"/>
                <w:color w:val="2C2C2C"/>
                <w:sz w:val="20"/>
                <w:szCs w:val="20"/>
              </w:rPr>
              <w:t xml:space="preserve">Law family: participation law, non-zero condition, activation threshold (ε &gt; s_crit).</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B3F00" w:sz="8"/>
              <w:left w:val="single" w:color="7B3F00" w:sz="8"/>
              <w:bottom w:val="single" w:color="CCCCCC" w:sz="1"/>
              <w:right w:val="single" w:color="CCCCCC" w:sz="1"/>
            </w:tcBorders>
            <w:shd w:fill="FFF8F0" w:val="clear"/>
            <w:tcMar>
              <w:top w:type="dxa" w:w="100"/>
              <w:left w:type="dxa" w:w="200"/>
              <w:bottom w:type="dxa" w:w="100"/>
              <w:right w:type="dxa" w:w="200"/>
            </w:tcMar>
          </w:tcPr>
          <w:p>
            <w:pPr>
              <w:spacing w:after="60" w:before="0"/>
            </w:pPr>
            <w:r>
              <w:rPr>
                <w:rFonts w:ascii="Arial" w:cs="Arial" w:eastAsia="Arial" w:hAnsi="Arial"/>
                <w:b/>
                <w:bCs/>
                <w:color w:val="7B3F00"/>
                <w:sz w:val="20"/>
                <w:szCs w:val="20"/>
              </w:rPr>
              <w:t xml:space="preserve">COUPLING REGION  (⇔R)</w:t>
            </w:r>
          </w:p>
          <w:p>
            <w:pPr>
              <w:spacing w:after="40" w:before="0"/>
            </w:pPr>
            <w:r>
              <w:rPr>
                <w:rFonts w:ascii="Garamond" w:cs="Garamond" w:eastAsia="Garamond" w:hAnsi="Garamond"/>
                <w:color w:val="2C2C2C"/>
                <w:sz w:val="20"/>
                <w:szCs w:val="20"/>
              </w:rPr>
              <w:t xml:space="preserve">Admissibility, coupling, and valve mechanism: the biconditional is history-gated by R.</w:t>
            </w:r>
          </w:p>
          <w:p>
            <w:pPr>
              <w:spacing w:after="40" w:before="0"/>
            </w:pPr>
            <w:r>
              <w:rPr>
                <w:rFonts w:ascii="Garamond" w:cs="Garamond" w:eastAsia="Garamond" w:hAnsi="Garamond"/>
                <w:color w:val="2C2C2C"/>
                <w:sz w:val="20"/>
                <w:szCs w:val="20"/>
              </w:rPr>
              <w:t xml:space="preserve">Key variables: Aα (admissibility window), ρ (continuation capacity), R (residue), κ (inscription), λ (decay), u (geometry back-pressure).</w:t>
            </w:r>
          </w:p>
          <w:p>
            <w:pPr>
              <w:spacing w:after="40" w:before="0"/>
            </w:pPr>
            <w:r>
              <w:rPr>
                <w:rFonts w:ascii="Garamond" w:cs="Garamond" w:eastAsia="Garamond" w:hAnsi="Garamond"/>
                <w:color w:val="2C2C2C"/>
                <w:sz w:val="20"/>
                <w:szCs w:val="20"/>
              </w:rPr>
              <w:t xml:space="preserve">Candidate valve: A(ε, ρ, R) = σ(ρ + αR − βε − θ).</w:t>
            </w:r>
          </w:p>
          <w:p>
            <w:pPr>
              <w:spacing w:after="40" w:before="0"/>
            </w:pPr>
            <w:r>
              <w:rPr>
                <w:rFonts w:ascii="Garamond" w:cs="Garamond" w:eastAsia="Garamond" w:hAnsi="Garamond"/>
                <w:color w:val="2C2C2C"/>
                <w:sz w:val="20"/>
                <w:szCs w:val="20"/>
              </w:rPr>
              <w:t xml:space="preserve">Law family: admissibility law, handoff law, persistence law, structural lock law, closure/consistency law.</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C2E" w:sz="8"/>
              <w:left w:val="single" w:color="1A5C2E" w:sz="8"/>
              <w:bottom w:val="single" w:color="CCCCCC" w:sz="1"/>
              <w:right w:val="single" w:color="CCCCCC" w:sz="1"/>
            </w:tcBorders>
            <w:shd w:fill="F0FFF4" w:val="clear"/>
            <w:tcMar>
              <w:top w:type="dxa" w:w="100"/>
              <w:left w:type="dxa" w:w="200"/>
              <w:bottom w:type="dxa" w:w="100"/>
              <w:right w:type="dxa" w:w="200"/>
            </w:tcMar>
          </w:tcPr>
          <w:p>
            <w:pPr>
              <w:spacing w:after="60" w:before="0"/>
            </w:pPr>
            <w:r>
              <w:rPr>
                <w:rFonts w:ascii="Arial" w:cs="Arial" w:eastAsia="Arial" w:hAnsi="Arial"/>
                <w:b/>
                <w:bCs/>
                <w:color w:val="1A5C2E"/>
                <w:sz w:val="20"/>
                <w:szCs w:val="20"/>
              </w:rPr>
              <w:t xml:space="preserve">PROCESS REGION  (δ(ℰ &gt; 0) / the update RHS)</w:t>
            </w:r>
          </w:p>
          <w:p>
            <w:pPr>
              <w:spacing w:after="40" w:before="0"/>
            </w:pPr>
            <w:r>
              <w:rPr>
                <w:rFonts w:ascii="Garamond" w:cs="Garamond" w:eastAsia="Garamond" w:hAnsi="Garamond"/>
                <w:color w:val="2C2C2C"/>
                <w:sz w:val="20"/>
                <w:szCs w:val="20"/>
              </w:rPr>
              <w:t xml:space="preserve">Phase mismatch, deviation in action, continuation / decoupling / recoupling, packet formation.</w:t>
            </w:r>
          </w:p>
          <w:p>
            <w:pPr>
              <w:spacing w:after="40" w:before="0"/>
            </w:pPr>
            <w:r>
              <w:rPr>
                <w:rFonts w:ascii="Garamond" w:cs="Garamond" w:eastAsia="Garamond" w:hAnsi="Garamond"/>
                <w:color w:val="2C2C2C"/>
                <w:sz w:val="20"/>
                <w:szCs w:val="20"/>
              </w:rPr>
              <w:t xml:space="preserve">Key variables: δ (phase/process mismatch), Δφ (relative phase deviation), NavT (transport), ΠAα (projection).</w:t>
            </w:r>
          </w:p>
          <w:p>
            <w:pPr>
              <w:spacing w:after="40" w:before="0"/>
            </w:pPr>
            <w:r>
              <w:rPr>
                <w:rFonts w:ascii="Garamond" w:cs="Garamond" w:eastAsia="Garamond" w:hAnsi="Garamond"/>
                <w:color w:val="2C2C2C"/>
                <w:sz w:val="20"/>
                <w:szCs w:val="20"/>
              </w:rPr>
              <w:t xml:space="preserve">Mathematical family: dynamical systems, differential equations, phase dynamics, hysteresis.</w:t>
            </w:r>
          </w:p>
          <w:p>
            <w:pPr>
              <w:spacing w:after="40" w:before="0"/>
            </w:pPr>
            <w:r>
              <w:rPr>
                <w:rFonts w:ascii="Garamond" w:cs="Garamond" w:eastAsia="Garamond" w:hAnsi="Garamond"/>
                <w:color w:val="2C2C2C"/>
                <w:sz w:val="20"/>
                <w:szCs w:val="20"/>
              </w:rPr>
              <w:t xml:space="preserve">Law family: deviation law, continuation law, packet formation law, hysteresis law, collapse/selection law, recovery law.</w:t>
            </w:r>
          </w:p>
        </w:tc>
      </w:tr>
    </w:tbl>
    <w:p>
      <w:pPr>
        <w:spacing w:after="0" w:before="80"/>
      </w:pPr>
      <w:r>
        <w:t xml:space="preserve"/>
      </w:r>
    </w:p>
    <w:p>
      <w:pPr>
        <w:pStyle w:val="Heading2"/>
        <w:spacing w:after="80" w:before="240"/>
      </w:pPr>
      <w:r>
        <w:rPr>
          <w:rFonts w:ascii="Arial" w:cs="Arial" w:eastAsia="Arial" w:hAnsi="Arial"/>
          <w:b/>
          <w:bCs/>
          <w:color w:val="2C2C2C"/>
          <w:sz w:val="24"/>
          <w:szCs w:val="24"/>
        </w:rPr>
        <w:t xml:space="preserve">I.4  Residue Dynamics</w:t>
      </w:r>
    </w:p>
    <w:p>
      <w:pPr>
        <w:spacing w:after="80" w:before="80" w:line="280"/>
        <w:jc w:val="both"/>
      </w:pPr>
      <w:r>
        <w:rPr>
          <w:rFonts w:ascii="Garamond" w:cs="Garamond" w:eastAsia="Garamond" w:hAnsi="Garamond"/>
          <w:b w:val="false"/>
          <w:bCs w:val="false"/>
          <w:i w:val="false"/>
          <w:iCs w:val="false"/>
          <w:color w:val="2C2C2C"/>
          <w:sz w:val="22"/>
          <w:szCs w:val="22"/>
        </w:rPr>
        <w:t xml:space="preserve">The residue state R evolves through inscription of realized updates and decay:</w:t>
      </w:r>
    </w:p>
    <w:p>
      <w:pPr>
        <w:spacing w:after="0" w:before="40"/>
      </w:pPr>
      <w:r>
        <w:t xml:space="preserve"/>
      </w:r>
    </w:p>
    <w:p>
      <w:pPr>
        <w:spacing w:after="60" w:before="60"/>
        <w:ind w:left="720"/>
        <w:jc w:val="left"/>
      </w:pPr>
      <w:r>
        <w:rPr>
          <w:rFonts w:ascii="Courier New" w:cs="Courier New" w:eastAsia="Courier New" w:hAnsi="Courier New"/>
          <w:b w:val="false"/>
          <w:bCs w:val="false"/>
          <w:color w:val="1F4E79"/>
          <w:sz w:val="18"/>
          <w:szCs w:val="18"/>
        </w:rPr>
        <w:t xml:space="preserve">R_{t+1} = R_t + κ · ΠAα(Σ NavT) − λ · R_t</w:t>
      </w:r>
    </w:p>
    <w:p>
      <w:pPr>
        <w:spacing w:after="0" w:before="40"/>
      </w:pPr>
      <w:r>
        <w:t xml:space="preserve"/>
      </w:r>
    </w:p>
    <w:p>
      <w:pPr>
        <w:spacing w:after="80" w:before="80" w:line="280"/>
        <w:jc w:val="both"/>
      </w:pPr>
      <w:r>
        <w:rPr>
          <w:rFonts w:ascii="Garamond" w:cs="Garamond" w:eastAsia="Garamond" w:hAnsi="Garamond"/>
          <w:b w:val="false"/>
          <w:bCs w:val="false"/>
          <w:i w:val="false"/>
          <w:iCs w:val="false"/>
          <w:color w:val="2C2C2C"/>
          <w:sz w:val="22"/>
          <w:szCs w:val="22"/>
        </w:rPr>
        <w:t xml:space="preserve">This feedback loop is the mechanism behind M1 (Nonzero Continuation) and M6 (Residue Law). Each realized update writes into R via κ, making the ⇔R gate harder to close once opened. Persistence is not asserted; it is a consequence of inscription dynamics. The parameter λ governs decay toward the gate-open threshold, making re-entry into Eα = 0 a constrained and path-dependent event.</w:t>
      </w:r>
    </w:p>
    <w:p>
      <w:r>
        <w:br w:type="page"/>
      </w:r>
    </w:p>
    <w:p>
      <w:pPr>
        <w:pStyle w:val="Heading1"/>
        <w:pBdr>
          <w:bottom w:val="single" w:color="1F4E79" w:sz="4"/>
        </w:pBdr>
        <w:spacing w:after="120" w:before="360"/>
      </w:pPr>
      <w:r>
        <w:rPr>
          <w:rFonts w:ascii="Arial" w:cs="Arial" w:eastAsia="Arial" w:hAnsi="Arial"/>
          <w:b/>
          <w:bCs/>
          <w:color w:val="1F4E79"/>
          <w:sz w:val="30"/>
          <w:szCs w:val="30"/>
        </w:rPr>
        <w:t xml:space="preserve">II.  Admissibility, Selection, and Local Reference</w:t>
      </w:r>
    </w:p>
    <w:p>
      <w:pPr>
        <w:spacing w:after="80" w:before="80" w:line="280"/>
        <w:jc w:val="both"/>
      </w:pPr>
      <w:r>
        <w:rPr>
          <w:rFonts w:ascii="Garamond" w:cs="Garamond" w:eastAsia="Garamond" w:hAnsi="Garamond"/>
          <w:b w:val="false"/>
          <w:bCs w:val="false"/>
          <w:i w:val="false"/>
          <w:iCs w:val="false"/>
          <w:color w:val="2C2C2C"/>
          <w:sz w:val="22"/>
          <w:szCs w:val="22"/>
        </w:rPr>
        <w:t xml:space="preserve">This section consolidates the structural separation established in TN_Admissibility_Window_and_Local_R, which provides the critical disambiguation that prevents three distinct mechanisms from being conflated: the admissibility domain, the selection operator, and the induced local reference.</w:t>
      </w:r>
    </w:p>
    <w:p>
      <w:pPr>
        <w:spacing w:after="0" w:before="80"/>
      </w:pPr>
      <w:r>
        <w:t xml:space="preserve"/>
      </w:r>
    </w:p>
    <w:p>
      <w:pPr>
        <w:pStyle w:val="Heading2"/>
        <w:spacing w:after="80" w:before="240"/>
      </w:pPr>
      <w:r>
        <w:rPr>
          <w:rFonts w:ascii="Arial" w:cs="Arial" w:eastAsia="Arial" w:hAnsi="Arial"/>
          <w:b/>
          <w:bCs/>
          <w:color w:val="2C2C2C"/>
          <w:sz w:val="24"/>
          <w:szCs w:val="24"/>
        </w:rPr>
        <w:t xml:space="preserve">II.1  The Three Roles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8"/>
              <w:left w:val="single" w:color="1F4E79" w:sz="8"/>
              <w:bottom w:val="single" w:color="CCCCCC" w:sz="1"/>
              <w:right w:val="single" w:color="CCCCCC" w:sz="1"/>
            </w:tcBorders>
            <w:shd w:fill="EAF2FB" w:val="clear"/>
            <w:tcMar>
              <w:top w:type="dxa" w:w="100"/>
              <w:left w:type="dxa" w:w="200"/>
              <w:bottom w:type="dxa" w:w="100"/>
              <w:right w:type="dxa" w:w="200"/>
            </w:tcMar>
          </w:tcPr>
          <w:p>
            <w:pPr>
              <w:spacing w:after="60" w:before="0"/>
            </w:pPr>
            <w:r>
              <w:rPr>
                <w:rFonts w:ascii="Arial" w:cs="Arial" w:eastAsia="Arial" w:hAnsi="Arial"/>
                <w:b/>
                <w:bCs/>
                <w:color w:val="1F4E79"/>
                <w:sz w:val="20"/>
                <w:szCs w:val="20"/>
              </w:rPr>
              <w:t xml:space="preserve">Admissibility Window  Aα  — constraint domain</w:t>
            </w:r>
          </w:p>
          <w:p>
            <w:pPr>
              <w:spacing w:after="40" w:before="0"/>
            </w:pPr>
            <w:r>
              <w:rPr>
                <w:rFonts w:ascii="Garamond" w:cs="Garamond" w:eastAsia="Garamond" w:hAnsi="Garamond"/>
                <w:color w:val="2C2C2C"/>
                <w:sz w:val="20"/>
                <w:szCs w:val="20"/>
              </w:rPr>
              <w:t xml:space="preserve">Definition: Aα := { δ ∈ T_{xα}M | δ satisfies local admissibility constraints }</w:t>
            </w:r>
          </w:p>
          <w:p>
            <w:pPr>
              <w:spacing w:after="40" w:before="0"/>
            </w:pPr>
            <w:r>
              <w:rPr>
                <w:rFonts w:ascii="Garamond" w:cs="Garamond" w:eastAsia="Garamond" w:hAnsi="Garamond"/>
                <w:color w:val="2C2C2C"/>
                <w:sz w:val="20"/>
                <w:szCs w:val="20"/>
              </w:rPr>
              <w:t xml:space="preserve">Aα is a constraint domain, not a rule. It defines what can pass, not what is chosen.</w:t>
            </w:r>
          </w:p>
          <w:p>
            <w:pPr>
              <w:spacing w:after="40" w:before="0"/>
            </w:pPr>
            <w:r>
              <w:rPr>
                <w:rFonts w:ascii="Garamond" w:cs="Garamond" w:eastAsia="Garamond" w:hAnsi="Garamond"/>
                <w:color w:val="2C2C2C"/>
                <w:sz w:val="20"/>
                <w:szCs w:val="20"/>
              </w:rPr>
              <w:t xml:space="preserve">It is local, state-dependent, and residue-conditioned: Aα = A(εα, ρα, Rα).</w:t>
            </w:r>
          </w:p>
          <w:p>
            <w:pPr>
              <w:spacing w:after="40" w:before="0"/>
            </w:pPr>
            <w:r>
              <w:rPr>
                <w:rFonts w:ascii="Garamond" w:cs="Garamond" w:eastAsia="Garamond" w:hAnsi="Garamond"/>
                <w:color w:val="2C2C2C"/>
                <w:sz w:val="20"/>
                <w:szCs w:val="20"/>
              </w:rPr>
              <w:t xml:space="preserve">Aα is dynamically constituted: residue reshapes it (M6), capacity limits it (ρ), mismatch can shrink or distort it.</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B3F00" w:sz="8"/>
              <w:left w:val="single" w:color="7B3F00" w:sz="8"/>
              <w:bottom w:val="single" w:color="CCCCCC" w:sz="1"/>
              <w:right w:val="single" w:color="CCCCCC" w:sz="1"/>
            </w:tcBorders>
            <w:shd w:fill="FFF8F0" w:val="clear"/>
            <w:tcMar>
              <w:top w:type="dxa" w:w="100"/>
              <w:left w:type="dxa" w:w="200"/>
              <w:bottom w:type="dxa" w:w="100"/>
              <w:right w:type="dxa" w:w="200"/>
            </w:tcMar>
          </w:tcPr>
          <w:p>
            <w:pPr>
              <w:spacing w:after="60" w:before="0"/>
            </w:pPr>
            <w:r>
              <w:rPr>
                <w:rFonts w:ascii="Arial" w:cs="Arial" w:eastAsia="Arial" w:hAnsi="Arial"/>
                <w:b/>
                <w:bCs/>
                <w:color w:val="7B3F00"/>
                <w:sz w:val="20"/>
                <w:szCs w:val="20"/>
              </w:rPr>
              <w:t xml:space="preserve">Selection Operator  O*  — chooses within Aα</w:t>
            </w:r>
          </w:p>
          <w:p>
            <w:pPr>
              <w:spacing w:after="40" w:before="0"/>
            </w:pPr>
            <w:r>
              <w:rPr>
                <w:rFonts w:ascii="Garamond" w:cs="Garamond" w:eastAsia="Garamond" w:hAnsi="Garamond"/>
                <w:color w:val="2C2C2C"/>
                <w:sz w:val="20"/>
                <w:szCs w:val="20"/>
              </w:rPr>
              <w:t xml:space="preserve">O*(x, t) ∈ argmin_{O ∈ O_adm} μ_rel(O · ε)</w:t>
            </w:r>
          </w:p>
          <w:p>
            <w:pPr>
              <w:spacing w:after="40" w:before="0"/>
            </w:pPr>
            <w:r>
              <w:rPr>
                <w:rFonts w:ascii="Garamond" w:cs="Garamond" w:eastAsia="Garamond" w:hAnsi="Garamond"/>
                <w:color w:val="2C2C2C"/>
                <w:sz w:val="20"/>
                <w:szCs w:val="20"/>
              </w:rPr>
              <w:t xml:space="preserve">O* operates strictly within Aα; it orders admissible continuations and resolves ambiguity under mismatch.</w:t>
            </w:r>
          </w:p>
          <w:p>
            <w:pPr>
              <w:spacing w:after="40" w:before="0"/>
            </w:pPr>
            <w:r>
              <w:rPr>
                <w:rFonts w:ascii="Garamond" w:cs="Garamond" w:eastAsia="Garamond" w:hAnsi="Garamond"/>
                <w:color w:val="2C2C2C"/>
                <w:sz w:val="20"/>
                <w:szCs w:val="20"/>
              </w:rPr>
              <w:t xml:space="preserve">O* does not define the domain; it acts inside it.</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C2E" w:sz="8"/>
              <w:left w:val="single" w:color="1A5C2E" w:sz="8"/>
              <w:bottom w:val="single" w:color="CCCCCC" w:sz="1"/>
              <w:right w:val="single" w:color="CCCCCC" w:sz="1"/>
            </w:tcBorders>
            <w:shd w:fill="F0FFF4" w:val="clear"/>
            <w:tcMar>
              <w:top w:type="dxa" w:w="100"/>
              <w:left w:type="dxa" w:w="200"/>
              <w:bottom w:type="dxa" w:w="100"/>
              <w:right w:type="dxa" w:w="200"/>
            </w:tcMar>
          </w:tcPr>
          <w:p>
            <w:pPr>
              <w:spacing w:after="60" w:before="0"/>
            </w:pPr>
            <w:r>
              <w:rPr>
                <w:rFonts w:ascii="Arial" w:cs="Arial" w:eastAsia="Arial" w:hAnsi="Arial"/>
                <w:b/>
                <w:bCs/>
                <w:color w:val="1A5C2E"/>
                <w:sz w:val="20"/>
                <w:szCs w:val="20"/>
              </w:rPr>
              <w:t xml:space="preserve">Local Reference  −(i)α  — emerges from selection</w:t>
            </w:r>
          </w:p>
          <w:p>
            <w:pPr>
              <w:spacing w:after="40" w:before="0"/>
            </w:pPr>
            <w:r>
              <w:rPr>
                <w:rFonts w:ascii="Garamond" w:cs="Garamond" w:eastAsia="Garamond" w:hAnsi="Garamond"/>
                <w:color w:val="2C2C2C"/>
                <w:sz w:val="20"/>
                <w:szCs w:val="20"/>
              </w:rPr>
              <w:t xml:space="preserve">−(i)α := Ref(O* · ε)</w:t>
            </w:r>
          </w:p>
          <w:p>
            <w:pPr>
              <w:spacing w:after="40" w:before="0"/>
            </w:pPr>
            <w:r>
              <w:rPr>
                <w:rFonts w:ascii="Garamond" w:cs="Garamond" w:eastAsia="Garamond" w:hAnsi="Garamond"/>
                <w:color w:val="2C2C2C"/>
                <w:sz w:val="20"/>
                <w:szCs w:val="20"/>
              </w:rPr>
              <w:t xml:space="preserve">−(i)α is the result of selection, not the selector. It is the induced local orientation of the resolution.</w:t>
            </w:r>
          </w:p>
          <w:p>
            <w:pPr>
              <w:spacing w:after="40" w:before="0"/>
            </w:pPr>
            <w:r>
              <w:rPr>
                <w:rFonts w:ascii="Garamond" w:cs="Garamond" w:eastAsia="Garamond" w:hAnsi="Garamond"/>
                <w:color w:val="2C2C2C"/>
                <w:sz w:val="20"/>
                <w:szCs w:val="20"/>
              </w:rPr>
              <w:t xml:space="preserve">It may be set-valued under degeneracy.</w:t>
            </w:r>
          </w:p>
          <w:p>
            <w:pPr>
              <w:spacing w:after="40" w:before="0"/>
            </w:pPr>
            <w:r>
              <w:rPr>
                <w:rFonts w:ascii="Garamond" w:cs="Garamond" w:eastAsia="Garamond" w:hAnsi="Garamond"/>
                <w:color w:val="2C2C2C"/>
                <w:sz w:val="20"/>
                <w:szCs w:val="20"/>
              </w:rPr>
              <w:t xml:space="preserve">It is not a primitive input to the expression; it is what transport uses once O* has acted.</w:t>
            </w:r>
          </w:p>
        </w:tc>
      </w:tr>
    </w:tbl>
    <w:p>
      <w:pPr>
        <w:spacing w:after="0" w:before="80"/>
      </w:pPr>
      <w:r>
        <w:t xml:space="preserve"/>
      </w:r>
    </w:p>
    <w:p>
      <w:pPr>
        <w:pStyle w:val="Heading2"/>
        <w:spacing w:after="80" w:before="240"/>
      </w:pPr>
      <w:r>
        <w:rPr>
          <w:rFonts w:ascii="Arial" w:cs="Arial" w:eastAsia="Arial" w:hAnsi="Arial"/>
          <w:b/>
          <w:bCs/>
          <w:color w:val="2C2C2C"/>
          <w:sz w:val="24"/>
          <w:szCs w:val="24"/>
        </w:rPr>
        <w:t xml:space="preserve">II.2  The Integrated Update Step</w:t>
      </w:r>
    </w:p>
    <w:p>
      <w:pPr>
        <w:spacing w:after="80" w:before="80" w:line="280"/>
        <w:jc w:val="both"/>
      </w:pPr>
      <w:r>
        <w:rPr>
          <w:rFonts w:ascii="Garamond" w:cs="Garamond" w:eastAsia="Garamond" w:hAnsi="Garamond"/>
          <w:b w:val="false"/>
          <w:bCs w:val="false"/>
          <w:i w:val="false"/>
          <w:iCs w:val="false"/>
          <w:color w:val="2C2C2C"/>
          <w:sz w:val="22"/>
          <w:szCs w:val="22"/>
        </w:rPr>
        <w:t xml:space="preserve">With roles separated, the full update step reads as three ordered operations:</w:t>
      </w:r>
    </w:p>
    <w:p>
      <w:pPr>
        <w:spacing w:after="0" w:before="40"/>
      </w:pPr>
      <w:r>
        <w:t xml:space="preserve"/>
      </w:r>
    </w:p>
    <w:p>
      <w:pPr>
        <w:spacing w:after="60" w:before="60"/>
        <w:ind w:left="720"/>
        <w:jc w:val="left"/>
      </w:pPr>
      <w:r>
        <w:rPr>
          <w:rFonts w:ascii="Courier New" w:cs="Courier New" w:eastAsia="Courier New" w:hAnsi="Courier New"/>
          <w:b w:val="false"/>
          <w:bCs w:val="false"/>
          <w:color w:val="1F4E79"/>
          <w:sz w:val="18"/>
          <w:szCs w:val="18"/>
        </w:rPr>
        <w:t xml:space="preserve">1.  Compute transport:  Σβ∈CSI(α) NavT(ωα, ωβ)</w:t>
      </w:r>
    </w:p>
    <w:p>
      <w:pPr>
        <w:spacing w:after="60" w:before="60"/>
        <w:ind w:left="720"/>
        <w:jc w:val="left"/>
      </w:pPr>
      <w:r>
        <w:rPr>
          <w:rFonts w:ascii="Courier New" w:cs="Courier New" w:eastAsia="Courier New" w:hAnsi="Courier New"/>
          <w:b w:val="false"/>
          <w:bCs w:val="false"/>
          <w:color w:val="1F4E79"/>
          <w:sz w:val="18"/>
          <w:szCs w:val="18"/>
        </w:rPr>
        <w:t xml:space="preserve">2.  Apply projection:   ΠAα( Σ … )  — enforces admissibility pre-update</w:t>
      </w:r>
    </w:p>
    <w:p>
      <w:pPr>
        <w:spacing w:after="60" w:before="60"/>
        <w:ind w:left="720"/>
        <w:jc w:val="left"/>
      </w:pPr>
      <w:r>
        <w:rPr>
          <w:rFonts w:ascii="Courier New" w:cs="Courier New" w:eastAsia="Courier New" w:hAnsi="Courier New"/>
          <w:b w:val="false"/>
          <w:bCs w:val="false"/>
          <w:color w:val="1F4E79"/>
          <w:sz w:val="18"/>
          <w:szCs w:val="18"/>
        </w:rPr>
        <w:t xml:space="preserve">3.  If selection needed: O* → −(i)α → re-express as NavT(−(i)α, −(i)β)</w:t>
      </w:r>
    </w:p>
    <w:p>
      <w:pPr>
        <w:spacing w:after="0" w:before="40"/>
      </w:pPr>
      <w:r>
        <w:t xml:space="preserve"/>
      </w:r>
    </w:p>
    <w:p>
      <w:pPr>
        <w:spacing w:after="80" w:before="80" w:line="280"/>
        <w:jc w:val="both"/>
      </w:pPr>
      <w:r>
        <w:rPr>
          <w:rFonts w:ascii="Garamond" w:cs="Garamond" w:eastAsia="Garamond" w:hAnsi="Garamond"/>
          <w:b w:val="false"/>
          <w:bCs w:val="false"/>
          <w:i w:val="false"/>
          <w:iCs w:val="false"/>
          <w:color w:val="2C2C2C"/>
          <w:sz w:val="22"/>
          <w:szCs w:val="22"/>
        </w:rPr>
        <w:t xml:space="preserve">This is consistent with the working capture's 'valve mechanism' language for admissibility and with the derivation note's identification of Gaps 1–3. Step 3 is the refinement step in which ω is replaced by the derived reference variable after O* is defined. The canonical expression uses ω as a place-holder until this derivation is completed.</w:t>
      </w:r>
    </w:p>
    <w:p>
      <w:pPr>
        <w:pStyle w:val="Heading2"/>
        <w:spacing w:after="80" w:before="240"/>
      </w:pPr>
      <w:r>
        <w:rPr>
          <w:rFonts w:ascii="Arial" w:cs="Arial" w:eastAsia="Arial" w:hAnsi="Arial"/>
          <w:b/>
          <w:bCs/>
          <w:color w:val="2C2C2C"/>
          <w:sz w:val="24"/>
          <w:szCs w:val="24"/>
        </w:rPr>
        <w:t xml:space="preserve">II.3  Projection Properties</w:t>
      </w:r>
    </w:p>
    <w:p>
      <w:pPr>
        <w:spacing w:after="80" w:before="80" w:line="280"/>
        <w:jc w:val="both"/>
      </w:pPr>
      <w:r>
        <w:rPr>
          <w:rFonts w:ascii="Garamond" w:cs="Garamond" w:eastAsia="Garamond" w:hAnsi="Garamond"/>
          <w:b w:val="false"/>
          <w:bCs w:val="false"/>
          <w:i w:val="false"/>
          <w:iCs w:val="false"/>
          <w:color w:val="2C2C2C"/>
          <w:sz w:val="22"/>
          <w:szCs w:val="22"/>
        </w:rPr>
        <w:t xml:space="preserve">The projection operator ΠAα has three defining properties that make M7 a direct reading of the expression rather than an independent stipulation:</w:t>
      </w:r>
    </w:p>
    <w:p>
      <w:pPr>
        <w:spacing w:after="0" w:before="40"/>
      </w:pPr>
      <w:r>
        <w:t xml:space="preserve"/>
      </w:r>
    </w:p>
    <w:p>
      <w:pPr>
        <w:spacing w:after="60" w:before="60"/>
        <w:ind w:left="720"/>
        <w:jc w:val="left"/>
      </w:pPr>
      <w:r>
        <w:rPr>
          <w:rFonts w:ascii="Courier New" w:cs="Courier New" w:eastAsia="Courier New" w:hAnsi="Courier New"/>
          <w:b w:val="false"/>
          <w:bCs w:val="false"/>
          <w:color w:val="1F4E79"/>
          <w:sz w:val="18"/>
          <w:szCs w:val="18"/>
        </w:rPr>
        <w:t xml:space="preserve">(Filter)       ΠAα(v) ∈ Aα  for all v</w:t>
      </w:r>
    </w:p>
    <w:p>
      <w:pPr>
        <w:spacing w:after="60" w:before="60"/>
        <w:ind w:left="720"/>
        <w:jc w:val="left"/>
      </w:pPr>
      <w:r>
        <w:rPr>
          <w:rFonts w:ascii="Courier New" w:cs="Courier New" w:eastAsia="Courier New" w:hAnsi="Courier New"/>
          <w:b w:val="false"/>
          <w:bCs w:val="false"/>
          <w:color w:val="1F4E79"/>
          <w:sz w:val="18"/>
          <w:szCs w:val="18"/>
        </w:rPr>
        <w:t xml:space="preserve">(Zero)         ΠAα(0) = 0</w:t>
      </w:r>
    </w:p>
    <w:p>
      <w:pPr>
        <w:spacing w:after="60" w:before="60"/>
        <w:ind w:left="720"/>
        <w:jc w:val="left"/>
      </w:pPr>
      <w:r>
        <w:rPr>
          <w:rFonts w:ascii="Courier New" w:cs="Courier New" w:eastAsia="Courier New" w:hAnsi="Courier New"/>
          <w:b w:val="false"/>
          <w:bCs w:val="false"/>
          <w:color w:val="1F4E79"/>
          <w:sz w:val="18"/>
          <w:szCs w:val="18"/>
        </w:rPr>
        <w:t xml:space="preserve">(Pre-update)   projection acts before state addition</w:t>
      </w:r>
    </w:p>
    <w:p>
      <w:pPr>
        <w:spacing w:after="0" w:before="40"/>
      </w:pPr>
      <w:r>
        <w:t xml:space="preserve"/>
      </w:r>
    </w:p>
    <w:p>
      <w:pPr>
        <w:spacing w:after="80" w:before="80" w:line="280"/>
        <w:jc w:val="both"/>
      </w:pPr>
      <w:r>
        <w:rPr>
          <w:rFonts w:ascii="Garamond" w:cs="Garamond" w:eastAsia="Garamond" w:hAnsi="Garamond"/>
          <w:b w:val="false"/>
          <w:bCs w:val="false"/>
          <w:i w:val="false"/>
          <w:iCs w:val="false"/>
          <w:color w:val="2C2C2C"/>
          <w:sz w:val="22"/>
          <w:szCs w:val="22"/>
        </w:rPr>
        <w:t xml:space="preserve">The pre-update position of ΠAα is the formal content of biased transport (M9): no NavT contribution reaches x′α unless it passes through Aα. This is not a post-hoc filter; it is enforced at the level of continuation.</w:t>
      </w:r>
    </w:p>
    <w:p>
      <w:pPr>
        <w:pStyle w:val="Heading2"/>
        <w:spacing w:after="80" w:before="240"/>
      </w:pPr>
      <w:r>
        <w:rPr>
          <w:rFonts w:ascii="Arial" w:cs="Arial" w:eastAsia="Arial" w:hAnsi="Arial"/>
          <w:b/>
          <w:bCs/>
          <w:color w:val="2C2C2C"/>
          <w:sz w:val="24"/>
          <w:szCs w:val="24"/>
        </w:rPr>
        <w:t xml:space="preserve">II.4  CSI Formation via Admissibility Overlap</w:t>
      </w:r>
    </w:p>
    <w:p>
      <w:pPr>
        <w:spacing w:after="80" w:before="80" w:line="280"/>
        <w:jc w:val="both"/>
      </w:pPr>
      <w:r>
        <w:rPr>
          <w:rFonts w:ascii="Garamond" w:cs="Garamond" w:eastAsia="Garamond" w:hAnsi="Garamond"/>
          <w:b w:val="false"/>
          <w:bCs w:val="false"/>
          <w:i w:val="false"/>
          <w:iCs w:val="false"/>
          <w:color w:val="2C2C2C"/>
          <w:sz w:val="22"/>
          <w:szCs w:val="22"/>
        </w:rPr>
        <w:t xml:space="preserve">The companion note proposes the following formation rule for the coherent source interface, which directly closes Gap 3 (see Section IV):</w:t>
      </w:r>
    </w:p>
    <w:p>
      <w:pPr>
        <w:spacing w:after="0" w:before="40"/>
      </w:pPr>
      <w:r>
        <w:t xml:space="preserve"/>
      </w:r>
    </w:p>
    <w:p>
      <w:pPr>
        <w:spacing w:after="60" w:before="60"/>
        <w:ind w:left="720"/>
        <w:jc w:val="left"/>
      </w:pPr>
      <w:r>
        <w:rPr>
          <w:rFonts w:ascii="Courier New" w:cs="Courier New" w:eastAsia="Courier New" w:hAnsi="Courier New"/>
          <w:b w:val="false"/>
          <w:bCs w:val="false"/>
          <w:color w:val="1F4E79"/>
          <w:sz w:val="18"/>
          <w:szCs w:val="18"/>
        </w:rPr>
        <w:t xml:space="preserve">β ∈ CSI(α)  ⇔  Aα ∩ Aβ ≠ ∅  under current R</w:t>
      </w:r>
    </w:p>
    <w:p>
      <w:pPr>
        <w:spacing w:after="0" w:before="40"/>
      </w:pPr>
      <w:r>
        <w:t xml:space="preserve"/>
      </w:r>
    </w:p>
    <w:p>
      <w:pPr>
        <w:spacing w:after="80" w:before="80" w:line="280"/>
        <w:jc w:val="both"/>
      </w:pPr>
      <w:r>
        <w:rPr>
          <w:rFonts w:ascii="Garamond" w:cs="Garamond" w:eastAsia="Garamond" w:hAnsi="Garamond"/>
          <w:b w:val="false"/>
          <w:bCs w:val="false"/>
          <w:i w:val="false"/>
          <w:iCs w:val="false"/>
          <w:color w:val="2C2C2C"/>
          <w:sz w:val="22"/>
          <w:szCs w:val="22"/>
        </w:rPr>
        <w:t xml:space="preserve">Under this rule, coupling is constituted by mutual admissibility overlap: overlap implies coupling, separation implies decoupling, partial overlap implies constrained interaction. CSI is therefore a derived quantity — a function of R and the current admissibility windows — not a primitive. It gains and loses members as R evolves, making interaction topology fully dynamic.</w:t>
      </w:r>
    </w:p>
    <w:p>
      <w:pPr>
        <w:pStyle w:val="Heading2"/>
        <w:spacing w:after="80" w:before="240"/>
      </w:pPr>
      <w:r>
        <w:rPr>
          <w:rFonts w:ascii="Arial" w:cs="Arial" w:eastAsia="Arial" w:hAnsi="Arial"/>
          <w:b/>
          <w:bCs/>
          <w:color w:val="2C2C2C"/>
          <w:sz w:val="24"/>
          <w:szCs w:val="24"/>
        </w:rPr>
        <w:t xml:space="preserve">II.5  Geometry Emergence and Failure Modes</w:t>
      </w:r>
    </w:p>
    <w:p>
      <w:pPr>
        <w:spacing w:after="80" w:before="80" w:line="280"/>
        <w:jc w:val="both"/>
      </w:pPr>
      <w:r>
        <w:rPr>
          <w:rFonts w:ascii="Garamond" w:cs="Garamond" w:eastAsia="Garamond" w:hAnsi="Garamond"/>
          <w:b w:val="false"/>
          <w:bCs w:val="false"/>
          <w:i w:val="false"/>
          <w:iCs w:val="false"/>
          <w:color w:val="2C2C2C"/>
          <w:sz w:val="22"/>
          <w:szCs w:val="22"/>
        </w:rPr>
        <w:t xml:space="preserve">The persistent behavior of ΠAα under accumulating R is the mechanism behind geometry emergence (M11) and its failure modes (M12, M13):</w:t>
      </w:r>
    </w:p>
    <w:p>
      <w:pPr>
        <w:spacing w:after="0" w:before="40"/>
      </w:pPr>
      <w:r>
        <w:t xml:space="preserve"/>
      </w:r>
    </w:p>
    <w:p>
      <w:pPr>
        <w:spacing w:after="60" w:before="60"/>
        <w:ind w:left="720"/>
        <w:jc w:val="left"/>
      </w:pPr>
      <w:r>
        <w:rPr>
          <w:rFonts w:ascii="Courier New" w:cs="Courier New" w:eastAsia="Courier New" w:hAnsi="Courier New"/>
          <w:b w:val="false"/>
          <w:bCs w:val="false"/>
          <w:color w:val="1F4E79"/>
          <w:sz w:val="18"/>
          <w:szCs w:val="18"/>
        </w:rPr>
        <w:t xml:space="preserve">Emergence:       ΠAα(Σ NavT) → stable as R → R*  ⇒  persistent admissibility structure := geometry</w:t>
      </w:r>
    </w:p>
    <w:p>
      <w:pPr>
        <w:spacing w:after="60" w:before="60"/>
        <w:ind w:left="720"/>
        <w:jc w:val="left"/>
      </w:pPr>
      <w:r>
        <w:rPr>
          <w:rFonts w:ascii="Courier New" w:cs="Courier New" w:eastAsia="Courier New" w:hAnsi="Courier New"/>
          <w:b w:val="false"/>
          <w:bCs w:val="false"/>
          <w:color w:val="1F4E79"/>
          <w:sz w:val="18"/>
          <w:szCs w:val="18"/>
        </w:rPr>
        <w:t xml:space="preserve">Curvature failure:  ‖ΠAα(Σ NavT)‖ → 0  while  Σ‖NavT‖ &gt; 0</w:t>
      </w:r>
    </w:p>
    <w:p>
      <w:pPr>
        <w:spacing w:after="60" w:before="60"/>
        <w:ind w:left="720"/>
        <w:jc w:val="left"/>
      </w:pPr>
      <w:r>
        <w:rPr>
          <w:rFonts w:ascii="Courier New" w:cs="Courier New" w:eastAsia="Courier New" w:hAnsi="Courier New"/>
          <w:b w:val="false"/>
          <w:bCs w:val="false"/>
          <w:color w:val="1F4E79"/>
          <w:sz w:val="18"/>
          <w:szCs w:val="18"/>
        </w:rPr>
        <w:t xml:space="preserve">Collapse:        Aα → ∅  ⇒  no admissible continuation  ⇒  biconditional closes</w:t>
      </w:r>
    </w:p>
    <w:p>
      <w:pPr>
        <w:spacing w:after="0" w:before="40"/>
      </w:pPr>
      <w:r>
        <w:t xml:space="preserve"/>
      </w:r>
    </w:p>
    <w:p>
      <w:pPr>
        <w:spacing w:after="80" w:before="80" w:line="280"/>
        <w:jc w:val="both"/>
      </w:pPr>
      <w:r>
        <w:rPr>
          <w:rFonts w:ascii="Garamond" w:cs="Garamond" w:eastAsia="Garamond" w:hAnsi="Garamond"/>
          <w:b w:val="false"/>
          <w:bCs w:val="false"/>
          <w:i w:val="false"/>
          <w:iCs w:val="false"/>
          <w:color w:val="2C2C2C"/>
          <w:sz w:val="22"/>
          <w:szCs w:val="22"/>
        </w:rPr>
        <w:t xml:space="preserve">Geometry is not imposed on the framework; it emerges from the convergence behavior of the projection operator under residue feedback. This is a derived rather than stipulated result, conditional on Aα being given an explicit oriented structure (Gap 1).</w:t>
      </w:r>
    </w:p>
    <w:p>
      <w:r>
        <w:br w:type="page"/>
      </w:r>
    </w:p>
    <w:p>
      <w:pPr>
        <w:pStyle w:val="Heading1"/>
        <w:pBdr>
          <w:bottom w:val="single" w:color="1F4E79" w:sz="4"/>
        </w:pBdr>
        <w:spacing w:after="120" w:before="360"/>
      </w:pPr>
      <w:r>
        <w:rPr>
          <w:rFonts w:ascii="Arial" w:cs="Arial" w:eastAsia="Arial" w:hAnsi="Arial"/>
          <w:b/>
          <w:bCs/>
          <w:color w:val="1F4E79"/>
          <w:sz w:val="30"/>
          <w:szCs w:val="30"/>
        </w:rPr>
        <w:t xml:space="preserve">III.  M-Law Derivations</w:t>
      </w:r>
    </w:p>
    <w:p>
      <w:pPr>
        <w:spacing w:after="80" w:before="80" w:line="280"/>
        <w:jc w:val="both"/>
      </w:pPr>
      <w:r>
        <w:rPr>
          <w:rFonts w:ascii="Garamond" w:cs="Garamond" w:eastAsia="Garamond" w:hAnsi="Garamond"/>
          <w:b w:val="false"/>
          <w:bCs w:val="false"/>
          <w:i w:val="false"/>
          <w:iCs w:val="false"/>
          <w:color w:val="2C2C2C"/>
          <w:sz w:val="22"/>
          <w:szCs w:val="22"/>
        </w:rPr>
        <w:t xml:space="preserve">The following derives each M-Law as a structural consequence of the core expression. For each law the derivation identifies which component(s) generate it, states the formal basis, and assesses the match against the current candidate formulation. Match ratings: Perfect (direct reading), Strong (mechanistically supported), Moderate (partially supported), Partial (gap identified), Demanded (expression requires new law).</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8"/>
              <w:left w:val="single" w:color="1F4E79" w:sz="8"/>
              <w:bottom w:val="single" w:color="CCCCCC" w:sz="1"/>
              <w:right w:val="single" w:color="CCCCCC" w:sz="1"/>
            </w:tcBorders>
            <w:shd w:fill="F5F0FF" w:val="clear"/>
            <w:tcMar>
              <w:top w:type="dxa" w:w="120"/>
              <w:left w:type="dxa" w:w="200"/>
              <w:bottom w:type="dxa" w:w="120"/>
              <w:right w:type="dxa" w:w="200"/>
            </w:tcMar>
          </w:tcPr>
          <w:p>
            <w:pPr>
              <w:spacing w:after="60" w:before="0"/>
            </w:pPr>
            <w:r>
              <w:rPr>
                <w:rFonts w:ascii="Courier New" w:cs="Courier New" w:eastAsia="Courier New" w:hAnsi="Courier New"/>
                <w:b/>
                <w:bCs/>
                <w:color w:val="3D1A78"/>
                <w:sz w:val="22"/>
                <w:szCs w:val="22"/>
              </w:rPr>
              <w:t xml:space="preserve">M0  </w:t>
            </w:r>
            <w:r>
              <w:rPr>
                <w:rFonts w:ascii="Arial" w:cs="Arial" w:eastAsia="Arial" w:hAnsi="Arial"/>
                <w:b/>
                <w:bCs/>
                <w:color w:val="2C2C2C"/>
                <w:sz w:val="22"/>
                <w:szCs w:val="22"/>
              </w:rPr>
              <w:t xml:space="preserve">No-Thing Boundary  </w:t>
            </w:r>
            <w:r>
              <w:rPr>
                <w:rFonts w:ascii="Arial" w:cs="Arial" w:eastAsia="Arial" w:hAnsi="Arial"/>
                <w:b/>
                <w:bCs/>
                <w:color w:val="1F4E79"/>
                <w:sz w:val="20"/>
                <w:szCs w:val="20"/>
              </w:rPr>
              <w:t xml:space="preserve">[Strong]</w:t>
            </w:r>
          </w:p>
          <w:p>
            <w:pPr>
              <w:spacing w:after="40" w:before="60"/>
            </w:pPr>
            <w:r>
              <w:rPr>
                <w:rFonts w:ascii="Arial" w:cs="Arial" w:eastAsia="Arial" w:hAnsi="Arial"/>
                <w:b/>
                <w:bCs/>
                <w:color w:val="4A4A4A"/>
                <w:sz w:val="20"/>
                <w:szCs w:val="20"/>
              </w:rPr>
              <w:t xml:space="preserve">Derivation.</w:t>
            </w:r>
          </w:p>
          <w:p>
            <w:pPr>
              <w:spacing w:after="60" w:before="0"/>
            </w:pPr>
            <w:r>
              <w:rPr>
                <w:rFonts w:ascii="Garamond" w:cs="Garamond" w:eastAsia="Garamond" w:hAnsi="Garamond"/>
                <w:color w:val="2C2C2C"/>
                <w:sz w:val="20"/>
                <w:szCs w:val="20"/>
              </w:rPr>
              <w:t xml:space="preserve">When CSI(α) = ∅ and Eα = 0, the update collapses to x′α = xα — the identity fixed point. This is not a void but the degenerate case of the update rule: a state that maps to itself when no coupling contributions exist.</w:t>
            </w:r>
          </w:p>
          <w:p>
            <w:pPr>
              <w:spacing w:after="20" w:before="0"/>
              <w:ind w:left="360"/>
            </w:pPr>
            <w:r>
              <w:rPr>
                <w:rFonts w:ascii="Courier New" w:cs="Courier New" w:eastAsia="Courier New" w:hAnsi="Courier New"/>
                <w:color w:val="1F4E79"/>
                <w:sz w:val="18"/>
                <w:szCs w:val="18"/>
              </w:rPr>
              <w:t xml:space="preserve">CSI(α) = ∅  ⇒  ΠAα(Σ NavT) = 0  ⇒  x′α = xα  [fixed point, not void]</w:t>
            </w:r>
          </w:p>
          <w:p>
            <w:pPr>
              <w:spacing w:after="40" w:before="80"/>
            </w:pPr>
            <w:r>
              <w:rPr>
                <w:rFonts w:ascii="Arial" w:cs="Arial" w:eastAsia="Arial" w:hAnsi="Arial"/>
                <w:b/>
                <w:bCs/>
                <w:color w:val="4A4A4A"/>
                <w:sz w:val="20"/>
                <w:szCs w:val="20"/>
              </w:rPr>
              <w:t xml:space="preserve">Vs. current candidate.</w:t>
            </w:r>
          </w:p>
          <w:p>
            <w:pPr>
              <w:spacing w:after="0" w:before="0"/>
            </w:pPr>
            <w:r>
              <w:rPr>
                <w:rFonts w:ascii="Garamond" w:cs="Garamond" w:eastAsia="Garamond" w:hAnsi="Garamond"/>
                <w:color w:val="2C2C2C"/>
                <w:sz w:val="20"/>
                <w:szCs w:val="20"/>
              </w:rPr>
              <w:t xml:space="preserve">Strong match. The expression grounds the 'boundary condition, not void' reading: Eα = 0 means the RHS reduces to identity. The boundary is the degenerate update, not absence of definition.</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8"/>
              <w:left w:val="single" w:color="1F4E79" w:sz="8"/>
              <w:bottom w:val="single" w:color="CCCCCC" w:sz="1"/>
              <w:right w:val="single" w:color="CCCCCC" w:sz="1"/>
            </w:tcBorders>
            <w:shd w:fill="F5F0FF" w:val="clear"/>
            <w:tcMar>
              <w:top w:type="dxa" w:w="120"/>
              <w:left w:type="dxa" w:w="200"/>
              <w:bottom w:type="dxa" w:w="120"/>
              <w:right w:type="dxa" w:w="200"/>
            </w:tcMar>
          </w:tcPr>
          <w:p>
            <w:pPr>
              <w:spacing w:after="60" w:before="0"/>
            </w:pPr>
            <w:r>
              <w:rPr>
                <w:rFonts w:ascii="Courier New" w:cs="Courier New" w:eastAsia="Courier New" w:hAnsi="Courier New"/>
                <w:b/>
                <w:bCs/>
                <w:color w:val="3D1A78"/>
                <w:sz w:val="22"/>
                <w:szCs w:val="22"/>
              </w:rPr>
              <w:t xml:space="preserve">M1  </w:t>
            </w:r>
            <w:r>
              <w:rPr>
                <w:rFonts w:ascii="Arial" w:cs="Arial" w:eastAsia="Arial" w:hAnsi="Arial"/>
                <w:b/>
                <w:bCs/>
                <w:color w:val="2C2C2C"/>
                <w:sz w:val="22"/>
                <w:szCs w:val="22"/>
              </w:rPr>
              <w:t xml:space="preserve">Nonzero Continuation  </w:t>
            </w:r>
            <w:r>
              <w:rPr>
                <w:rFonts w:ascii="Arial" w:cs="Arial" w:eastAsia="Arial" w:hAnsi="Arial"/>
                <w:b/>
                <w:bCs/>
                <w:color w:val="1F4E79"/>
                <w:sz w:val="20"/>
                <w:szCs w:val="20"/>
              </w:rPr>
              <w:t xml:space="preserve">[Strong]</w:t>
            </w:r>
          </w:p>
          <w:p>
            <w:pPr>
              <w:spacing w:after="40" w:before="60"/>
            </w:pPr>
            <w:r>
              <w:rPr>
                <w:rFonts w:ascii="Arial" w:cs="Arial" w:eastAsia="Arial" w:hAnsi="Arial"/>
                <w:b/>
                <w:bCs/>
                <w:color w:val="4A4A4A"/>
                <w:sz w:val="20"/>
                <w:szCs w:val="20"/>
              </w:rPr>
              <w:t xml:space="preserve">Derivation.</w:t>
            </w:r>
          </w:p>
          <w:p>
            <w:pPr>
              <w:spacing w:after="60" w:before="0"/>
            </w:pPr>
            <w:r>
              <w:rPr>
                <w:rFonts w:ascii="Garamond" w:cs="Garamond" w:eastAsia="Garamond" w:hAnsi="Garamond"/>
                <w:color w:val="2C2C2C"/>
                <w:sz w:val="20"/>
                <w:szCs w:val="20"/>
              </w:rPr>
              <w:t xml:space="preserve">Once Eα &gt; 0 holds and the ⇔R gate is satisfied, the RHS is non-trivial: ΠAα acts on at least one non-zero NavT term. Forward enforcement operates through R: each realized update writes into R via κ, making re-entry into Eα = 0 increasingly constrained.</w:t>
            </w:r>
          </w:p>
          <w:p>
            <w:pPr>
              <w:spacing w:after="20" w:before="0"/>
              <w:ind w:left="360"/>
            </w:pPr>
            <w:r>
              <w:rPr>
                <w:rFonts w:ascii="Courier New" w:cs="Courier New" w:eastAsia="Courier New" w:hAnsi="Courier New"/>
                <w:color w:val="1F4E79"/>
                <w:sz w:val="18"/>
                <w:szCs w:val="18"/>
              </w:rPr>
              <w:t xml:space="preserve">R_{t+1} = R_t + κ · ΠAα(Σ NavT)  ⇒  ⇔R gate harder to close once opened</w:t>
            </w:r>
          </w:p>
          <w:p>
            <w:pPr>
              <w:spacing w:after="40" w:before="80"/>
            </w:pPr>
            <w:r>
              <w:rPr>
                <w:rFonts w:ascii="Arial" w:cs="Arial" w:eastAsia="Arial" w:hAnsi="Arial"/>
                <w:b/>
                <w:bCs/>
                <w:color w:val="4A4A4A"/>
                <w:sz w:val="20"/>
                <w:szCs w:val="20"/>
              </w:rPr>
              <w:t xml:space="preserve">Vs. current candidate.</w:t>
            </w:r>
          </w:p>
          <w:p>
            <w:pPr>
              <w:spacing w:after="0" w:before="0"/>
            </w:pPr>
            <w:r>
              <w:rPr>
                <w:rFonts w:ascii="Garamond" w:cs="Garamond" w:eastAsia="Garamond" w:hAnsi="Garamond"/>
                <w:color w:val="2C2C2C"/>
                <w:sz w:val="20"/>
                <w:szCs w:val="20"/>
              </w:rPr>
              <w:t xml:space="preserve">Mechanistically enriched. The candidate asserts 'ℰ ≠ 0 is enforced forward' without specifying the mechanism. The expression shows how: residue inscription accumulates in the biconditional gate. Persistence is a consequence, not a stipulation.</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8"/>
              <w:left w:val="single" w:color="1F4E79" w:sz="8"/>
              <w:bottom w:val="single" w:color="CCCCCC" w:sz="1"/>
              <w:right w:val="single" w:color="CCCCCC" w:sz="1"/>
            </w:tcBorders>
            <w:shd w:fill="F5F0FF" w:val="clear"/>
            <w:tcMar>
              <w:top w:type="dxa" w:w="120"/>
              <w:left w:type="dxa" w:w="200"/>
              <w:bottom w:type="dxa" w:w="120"/>
              <w:right w:type="dxa" w:w="200"/>
            </w:tcMar>
          </w:tcPr>
          <w:p>
            <w:pPr>
              <w:spacing w:after="60" w:before="0"/>
            </w:pPr>
            <w:r>
              <w:rPr>
                <w:rFonts w:ascii="Courier New" w:cs="Courier New" w:eastAsia="Courier New" w:hAnsi="Courier New"/>
                <w:b/>
                <w:bCs/>
                <w:color w:val="3D1A78"/>
                <w:sz w:val="22"/>
                <w:szCs w:val="22"/>
              </w:rPr>
              <w:t xml:space="preserve">M2  </w:t>
            </w:r>
            <w:r>
              <w:rPr>
                <w:rFonts w:ascii="Arial" w:cs="Arial" w:eastAsia="Arial" w:hAnsi="Arial"/>
                <w:b/>
                <w:bCs/>
                <w:color w:val="2C2C2C"/>
                <w:sz w:val="22"/>
                <w:szCs w:val="22"/>
              </w:rPr>
              <w:t xml:space="preserve">Activation Law  </w:t>
            </w:r>
            <w:r>
              <w:rPr>
                <w:rFonts w:ascii="Arial" w:cs="Arial" w:eastAsia="Arial" w:hAnsi="Arial"/>
                <w:b/>
                <w:bCs/>
                <w:color w:val="1F4E79"/>
                <w:sz w:val="20"/>
                <w:szCs w:val="20"/>
              </w:rPr>
              <w:t xml:space="preserve">[Strong]</w:t>
            </w:r>
          </w:p>
          <w:p>
            <w:pPr>
              <w:spacing w:after="40" w:before="60"/>
            </w:pPr>
            <w:r>
              <w:rPr>
                <w:rFonts w:ascii="Arial" w:cs="Arial" w:eastAsia="Arial" w:hAnsi="Arial"/>
                <w:b/>
                <w:bCs/>
                <w:color w:val="4A4A4A"/>
                <w:sz w:val="20"/>
                <w:szCs w:val="20"/>
              </w:rPr>
              <w:t xml:space="preserve">Derivation.</w:t>
            </w:r>
          </w:p>
          <w:p>
            <w:pPr>
              <w:spacing w:after="60" w:before="0"/>
            </w:pPr>
            <w:r>
              <w:rPr>
                <w:rFonts w:ascii="Garamond" w:cs="Garamond" w:eastAsia="Garamond" w:hAnsi="Garamond"/>
                <w:color w:val="2C2C2C"/>
                <w:sz w:val="20"/>
                <w:szCs w:val="20"/>
              </w:rPr>
              <w:t xml:space="preserve">Eα &gt; 0 is necessary but not sufficient for an update to occur. The ⇔R gate must also be open — which depends on the admissibility valve A(ε, ρ, R). Non-null status alone does not trigger update.</w:t>
            </w:r>
          </w:p>
          <w:p>
            <w:pPr>
              <w:spacing w:after="20" w:before="0"/>
              <w:ind w:left="360"/>
            </w:pPr>
            <w:r>
              <w:rPr>
                <w:rFonts w:ascii="Courier New" w:cs="Courier New" w:eastAsia="Courier New" w:hAnsi="Courier New"/>
                <w:color w:val="1F4E79"/>
                <w:sz w:val="18"/>
                <w:szCs w:val="18"/>
              </w:rPr>
              <w:t xml:space="preserve">Eα &gt; 0  AND  A(ε, ρ, R) &gt; 0  ⇒  update occurs; neither condition alone suffices</w:t>
            </w:r>
          </w:p>
          <w:p>
            <w:pPr>
              <w:spacing w:after="40" w:before="80"/>
            </w:pPr>
            <w:r>
              <w:rPr>
                <w:rFonts w:ascii="Arial" w:cs="Arial" w:eastAsia="Arial" w:hAnsi="Arial"/>
                <w:b/>
                <w:bCs/>
                <w:color w:val="4A4A4A"/>
                <w:sz w:val="20"/>
                <w:szCs w:val="20"/>
              </w:rPr>
              <w:t xml:space="preserve">Vs. current candidate.</w:t>
            </w:r>
          </w:p>
          <w:p>
            <w:pPr>
              <w:spacing w:after="0" w:before="0"/>
            </w:pPr>
            <w:r>
              <w:rPr>
                <w:rFonts w:ascii="Garamond" w:cs="Garamond" w:eastAsia="Garamond" w:hAnsi="Garamond"/>
                <w:color w:val="2C2C2C"/>
                <w:sz w:val="20"/>
                <w:szCs w:val="20"/>
              </w:rPr>
              <w:t xml:space="preserve">Strong match. The expression makes the two-condition structure explicit: existence and activation are formally distinct. The candidate states this without showing the mechanism that keeps them separate.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8"/>
              <w:left w:val="single" w:color="1F4E79" w:sz="8"/>
              <w:bottom w:val="single" w:color="CCCCCC" w:sz="1"/>
              <w:right w:val="single" w:color="CCCCCC" w:sz="1"/>
            </w:tcBorders>
            <w:shd w:fill="F5F0FF" w:val="clear"/>
            <w:tcMar>
              <w:top w:type="dxa" w:w="120"/>
              <w:left w:type="dxa" w:w="200"/>
              <w:bottom w:type="dxa" w:w="120"/>
              <w:right w:type="dxa" w:w="200"/>
            </w:tcMar>
          </w:tcPr>
          <w:p>
            <w:pPr>
              <w:spacing w:after="60" w:before="0"/>
            </w:pPr>
            <w:r>
              <w:rPr>
                <w:rFonts w:ascii="Courier New" w:cs="Courier New" w:eastAsia="Courier New" w:hAnsi="Courier New"/>
                <w:b/>
                <w:bCs/>
                <w:color w:val="3D1A78"/>
                <w:sz w:val="22"/>
                <w:szCs w:val="22"/>
              </w:rPr>
              <w:t xml:space="preserve">M3  </w:t>
            </w:r>
            <w:r>
              <w:rPr>
                <w:rFonts w:ascii="Arial" w:cs="Arial" w:eastAsia="Arial" w:hAnsi="Arial"/>
                <w:b/>
                <w:bCs/>
                <w:color w:val="2C2C2C"/>
                <w:sz w:val="22"/>
                <w:szCs w:val="22"/>
              </w:rPr>
              <w:t xml:space="preserve">Distinguishable Mismatch  </w:t>
            </w:r>
            <w:r>
              <w:rPr>
                <w:rFonts w:ascii="Arial" w:cs="Arial" w:eastAsia="Arial" w:hAnsi="Arial"/>
                <w:b/>
                <w:bCs/>
                <w:color w:val="1F4E79"/>
                <w:sz w:val="20"/>
                <w:szCs w:val="20"/>
              </w:rPr>
              <w:t xml:space="preserve">[Strong]</w:t>
            </w:r>
          </w:p>
          <w:p>
            <w:pPr>
              <w:spacing w:after="40" w:before="60"/>
            </w:pPr>
            <w:r>
              <w:rPr>
                <w:rFonts w:ascii="Arial" w:cs="Arial" w:eastAsia="Arial" w:hAnsi="Arial"/>
                <w:b/>
                <w:bCs/>
                <w:color w:val="4A4A4A"/>
                <w:sz w:val="20"/>
                <w:szCs w:val="20"/>
              </w:rPr>
              <w:t xml:space="preserve">Derivation.</w:t>
            </w:r>
          </w:p>
          <w:p>
            <w:pPr>
              <w:spacing w:after="60" w:before="0"/>
            </w:pPr>
            <w:r>
              <w:rPr>
                <w:rFonts w:ascii="Garamond" w:cs="Garamond" w:eastAsia="Garamond" w:hAnsi="Garamond"/>
                <w:color w:val="2C2C2C"/>
                <w:sz w:val="20"/>
                <w:szCs w:val="20"/>
              </w:rPr>
              <w:t xml:space="preserve">NavT(ωα, ωβ) is non-zero precisely when ωα ≠ ωβ — when there is a phase mismatch between α and β. The sum over CSI(α) is therefore the total distinguishable mismatch input to α. Activation produces a structured deviation vector, not scalar noise.</w:t>
            </w:r>
          </w:p>
          <w:p>
            <w:pPr>
              <w:spacing w:after="20" w:before="0"/>
              <w:ind w:left="360"/>
            </w:pPr>
            <w:r>
              <w:rPr>
                <w:rFonts w:ascii="Courier New" w:cs="Courier New" w:eastAsia="Courier New" w:hAnsi="Courier New"/>
                <w:color w:val="1F4E79"/>
                <w:sz w:val="18"/>
                <w:szCs w:val="18"/>
              </w:rPr>
              <w:t xml:space="preserve">NavT(ωα, ωβ) ≠ 0  ⟺  ωα ≠ ωβ  [phase distinguishability condition]</w:t>
            </w:r>
          </w:p>
          <w:p>
            <w:pPr>
              <w:spacing w:after="40" w:before="80"/>
            </w:pPr>
            <w:r>
              <w:rPr>
                <w:rFonts w:ascii="Arial" w:cs="Arial" w:eastAsia="Arial" w:hAnsi="Arial"/>
                <w:b/>
                <w:bCs/>
                <w:color w:val="4A4A4A"/>
                <w:sz w:val="20"/>
                <w:szCs w:val="20"/>
              </w:rPr>
              <w:t xml:space="preserve">Vs. current candidate.</w:t>
            </w:r>
          </w:p>
          <w:p>
            <w:pPr>
              <w:spacing w:after="0" w:before="0"/>
            </w:pPr>
            <w:r>
              <w:rPr>
                <w:rFonts w:ascii="Garamond" w:cs="Garamond" w:eastAsia="Garamond" w:hAnsi="Garamond"/>
                <w:color w:val="2C2C2C"/>
                <w:sz w:val="20"/>
                <w:szCs w:val="20"/>
              </w:rPr>
              <w:t xml:space="preserve">Strong match. The Nav sum computes exactly what the candidate claims. The derivation adds that mismatch is structured (phase-relative), not merely non-zero.</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8"/>
              <w:left w:val="single" w:color="1F4E79" w:sz="8"/>
              <w:bottom w:val="single" w:color="CCCCCC" w:sz="1"/>
              <w:right w:val="single" w:color="CCCCCC" w:sz="1"/>
            </w:tcBorders>
            <w:shd w:fill="F5F0FF" w:val="clear"/>
            <w:tcMar>
              <w:top w:type="dxa" w:w="120"/>
              <w:left w:type="dxa" w:w="200"/>
              <w:bottom w:type="dxa" w:w="120"/>
              <w:right w:type="dxa" w:w="200"/>
            </w:tcMar>
          </w:tcPr>
          <w:p>
            <w:pPr>
              <w:spacing w:after="60" w:before="0"/>
            </w:pPr>
            <w:r>
              <w:rPr>
                <w:rFonts w:ascii="Courier New" w:cs="Courier New" w:eastAsia="Courier New" w:hAnsi="Courier New"/>
                <w:b/>
                <w:bCs/>
                <w:color w:val="3D1A78"/>
                <w:sz w:val="22"/>
                <w:szCs w:val="22"/>
              </w:rPr>
              <w:t xml:space="preserve">M4  </w:t>
            </w:r>
            <w:r>
              <w:rPr>
                <w:rFonts w:ascii="Arial" w:cs="Arial" w:eastAsia="Arial" w:hAnsi="Arial"/>
                <w:b/>
                <w:bCs/>
                <w:color w:val="2C2C2C"/>
                <w:sz w:val="22"/>
                <w:szCs w:val="22"/>
              </w:rPr>
              <w:t xml:space="preserve">Selection Law  </w:t>
            </w:r>
            <w:r>
              <w:rPr>
                <w:rFonts w:ascii="Arial" w:cs="Arial" w:eastAsia="Arial" w:hAnsi="Arial"/>
                <w:b/>
                <w:bCs/>
                <w:color w:val="1F4E79"/>
                <w:sz w:val="20"/>
                <w:szCs w:val="20"/>
              </w:rPr>
              <w:t xml:space="preserve">[Strong]</w:t>
            </w:r>
          </w:p>
          <w:p>
            <w:pPr>
              <w:spacing w:after="40" w:before="60"/>
            </w:pPr>
            <w:r>
              <w:rPr>
                <w:rFonts w:ascii="Arial" w:cs="Arial" w:eastAsia="Arial" w:hAnsi="Arial"/>
                <w:b/>
                <w:bCs/>
                <w:color w:val="4A4A4A"/>
                <w:sz w:val="20"/>
                <w:szCs w:val="20"/>
              </w:rPr>
              <w:t xml:space="preserve">Derivation.</w:t>
            </w:r>
          </w:p>
          <w:p>
            <w:pPr>
              <w:spacing w:after="60" w:before="0"/>
            </w:pPr>
            <w:r>
              <w:rPr>
                <w:rFonts w:ascii="Garamond" w:cs="Garamond" w:eastAsia="Garamond" w:hAnsi="Garamond"/>
                <w:color w:val="2C2C2C"/>
                <w:sz w:val="20"/>
                <w:szCs w:val="20"/>
              </w:rPr>
              <w:t xml:space="preserve">ΠAα is the selection operator. It projects the raw Nav sum onto the admissible subspace for α. Inadmissible directions are discarded. Selection is therefore geometric projection, not discrete enumeration.</w:t>
            </w:r>
          </w:p>
          <w:p>
            <w:pPr>
              <w:spacing w:after="20" w:before="0"/>
              <w:ind w:left="360"/>
            </w:pPr>
            <w:r>
              <w:rPr>
                <w:rFonts w:ascii="Courier New" w:cs="Courier New" w:eastAsia="Courier New" w:hAnsi="Courier New"/>
                <w:color w:val="1F4E79"/>
                <w:sz w:val="18"/>
                <w:szCs w:val="18"/>
              </w:rPr>
              <w:t xml:space="preserve">ΠAα : Σ NavT  ↦  admissible component  [projection, not enumeration]</w:t>
            </w:r>
          </w:p>
          <w:p>
            <w:pPr>
              <w:spacing w:after="40" w:before="80"/>
            </w:pPr>
            <w:r>
              <w:rPr>
                <w:rFonts w:ascii="Arial" w:cs="Arial" w:eastAsia="Arial" w:hAnsi="Arial"/>
                <w:b/>
                <w:bCs/>
                <w:color w:val="4A4A4A"/>
                <w:sz w:val="20"/>
                <w:szCs w:val="20"/>
              </w:rPr>
              <w:t xml:space="preserve">Vs. current candidate.</w:t>
            </w:r>
          </w:p>
          <w:p>
            <w:pPr>
              <w:spacing w:after="0" w:before="0"/>
            </w:pPr>
            <w:r>
              <w:rPr>
                <w:rFonts w:ascii="Garamond" w:cs="Garamond" w:eastAsia="Garamond" w:hAnsi="Garamond"/>
                <w:color w:val="2C2C2C"/>
                <w:sz w:val="20"/>
                <w:szCs w:val="20"/>
              </w:rPr>
              <w:t xml:space="preserve">Formally strengthened. The candidate says mismatch requires local selection among admissible continuations. The expression shows selection is continuous projection — a meaningful formal upgrade with geometric interpretation.</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6914" w:sz="8"/>
              <w:left w:val="single" w:color="8B6914" w:sz="8"/>
              <w:bottom w:val="single" w:color="CCCCCC" w:sz="1"/>
              <w:right w:val="single" w:color="CCCCCC" w:sz="1"/>
            </w:tcBorders>
            <w:shd w:fill="F5F0FF" w:val="clear"/>
            <w:tcMar>
              <w:top w:type="dxa" w:w="120"/>
              <w:left w:type="dxa" w:w="200"/>
              <w:bottom w:type="dxa" w:w="120"/>
              <w:right w:type="dxa" w:w="200"/>
            </w:tcMar>
          </w:tcPr>
          <w:p>
            <w:pPr>
              <w:spacing w:after="60" w:before="0"/>
            </w:pPr>
            <w:r>
              <w:rPr>
                <w:rFonts w:ascii="Courier New" w:cs="Courier New" w:eastAsia="Courier New" w:hAnsi="Courier New"/>
                <w:b/>
                <w:bCs/>
                <w:color w:val="3D1A78"/>
                <w:sz w:val="22"/>
                <w:szCs w:val="22"/>
              </w:rPr>
              <w:t xml:space="preserve">M5  </w:t>
            </w:r>
            <w:r>
              <w:rPr>
                <w:rFonts w:ascii="Arial" w:cs="Arial" w:eastAsia="Arial" w:hAnsi="Arial"/>
                <w:b/>
                <w:bCs/>
                <w:color w:val="2C2C2C"/>
                <w:sz w:val="22"/>
                <w:szCs w:val="22"/>
              </w:rPr>
              <w:t xml:space="preserve">Reference / Orientation Law  </w:t>
            </w:r>
            <w:r>
              <w:rPr>
                <w:rFonts w:ascii="Arial" w:cs="Arial" w:eastAsia="Arial" w:hAnsi="Arial"/>
                <w:b/>
                <w:bCs/>
                <w:color w:val="8B6914"/>
                <w:sz w:val="20"/>
                <w:szCs w:val="20"/>
              </w:rPr>
              <w:t xml:space="preserve">[Partial]</w:t>
            </w:r>
          </w:p>
          <w:p>
            <w:pPr>
              <w:spacing w:after="40" w:before="60"/>
            </w:pPr>
            <w:r>
              <w:rPr>
                <w:rFonts w:ascii="Arial" w:cs="Arial" w:eastAsia="Arial" w:hAnsi="Arial"/>
                <w:b/>
                <w:bCs/>
                <w:color w:val="4A4A4A"/>
                <w:sz w:val="20"/>
                <w:szCs w:val="20"/>
              </w:rPr>
              <w:t xml:space="preserve">Derivation.</w:t>
            </w:r>
          </w:p>
          <w:p>
            <w:pPr>
              <w:spacing w:after="60" w:before="0"/>
            </w:pPr>
            <w:r>
              <w:rPr>
                <w:rFonts w:ascii="Garamond" w:cs="Garamond" w:eastAsia="Garamond" w:hAnsi="Garamond"/>
                <w:color w:val="2C2C2C"/>
                <w:sz w:val="20"/>
                <w:szCs w:val="20"/>
              </w:rPr>
              <w:t xml:space="preserve">The admissibility window Aα is locally indexed to α, not globally fixed. Each process carries its own oriented reference frame. The −(i) reference condition corresponds to the local indexing of ΠAα, but the expression does not make the orientation structure of Aα explicit.</w:t>
            </w:r>
          </w:p>
          <w:p>
            <w:pPr>
              <w:spacing w:after="20" w:before="0"/>
              <w:ind w:left="360"/>
            </w:pPr>
            <w:r>
              <w:rPr>
                <w:rFonts w:ascii="Courier New" w:cs="Courier New" w:eastAsia="Courier New" w:hAnsi="Courier New"/>
                <w:color w:val="8B6914"/>
                <w:sz w:val="18"/>
                <w:szCs w:val="18"/>
              </w:rPr>
              <w:t xml:space="preserve">ΠAα indexed to α  ⇒  local reference frame; −(i) requires Aα := f(ωα, Rα)</w:t>
            </w:r>
          </w:p>
          <w:p>
            <w:pPr>
              <w:spacing w:after="40" w:before="80"/>
            </w:pPr>
            <w:r>
              <w:rPr>
                <w:rFonts w:ascii="Arial" w:cs="Arial" w:eastAsia="Arial" w:hAnsi="Arial"/>
                <w:b/>
                <w:bCs/>
                <w:color w:val="4A4A4A"/>
                <w:sz w:val="20"/>
                <w:szCs w:val="20"/>
              </w:rPr>
              <w:t xml:space="preserve">Vs. current candidate.</w:t>
            </w:r>
          </w:p>
          <w:p>
            <w:pPr>
              <w:spacing w:after="80" w:before="0"/>
            </w:pPr>
            <w:r>
              <w:rPr>
                <w:rFonts w:ascii="Garamond" w:cs="Garamond" w:eastAsia="Garamond" w:hAnsi="Garamond"/>
                <w:color w:val="2C2C2C"/>
                <w:sz w:val="20"/>
                <w:szCs w:val="20"/>
              </w:rPr>
              <w:t xml:space="preserve">Partial match. The expression supports M5 but does not derive the −(i) structure. Aα must be given an explicit oriented definition before M5 is fully derivable rather than merely supported.</w:t>
            </w:r>
          </w:p>
          <w:p>
            <w:pPr>
              <w:spacing w:after="40" w:before="60"/>
            </w:pPr>
            <w:r>
              <w:rPr>
                <w:rFonts w:ascii="Arial" w:cs="Arial" w:eastAsia="Arial" w:hAnsi="Arial"/>
                <w:b/>
                <w:bCs/>
                <w:color w:val="8B1A1A"/>
                <w:sz w:val="20"/>
                <w:szCs w:val="20"/>
              </w:rPr>
              <w:t xml:space="preserve">LIMIT / OPEN</w:t>
            </w:r>
          </w:p>
          <w:p>
            <w:pPr>
              <w:spacing w:after="20" w:before="0"/>
            </w:pPr>
            <w:r>
              <w:rPr>
                <w:rFonts w:ascii="Garamond" w:cs="Garamond" w:eastAsia="Garamond" w:hAnsi="Garamond"/>
                <w:color w:val="8B1A1A"/>
                <w:sz w:val="20"/>
                <w:szCs w:val="20"/>
              </w:rPr>
              <w:t xml:space="preserve">Gap 1: Aα requires an explicit oriented structure incorporating ωα and Rα.</w:t>
            </w:r>
          </w:p>
          <w:p>
            <w:pPr>
              <w:spacing w:after="20" w:before="0"/>
            </w:pPr>
            <w:r>
              <w:rPr>
                <w:rFonts w:ascii="Garamond" w:cs="Garamond" w:eastAsia="Garamond" w:hAnsi="Garamond"/>
                <w:color w:val="8B1A1A"/>
                <w:sz w:val="20"/>
                <w:szCs w:val="20"/>
              </w:rPr>
              <w:t xml:space="preserve">Candidate: Aα := { δ ∈ T_{xα}M : ρα + αRα − β|δ| − θ &gt; 0 }</w:t>
            </w:r>
          </w:p>
          <w:p>
            <w:pPr>
              <w:spacing w:after="20" w:before="0"/>
            </w:pPr>
            <w:r>
              <w:rPr>
                <w:rFonts w:ascii="Garamond" w:cs="Garamond" w:eastAsia="Garamond" w:hAnsi="Garamond"/>
                <w:color w:val="8B1A1A"/>
                <w:sz w:val="20"/>
                <w:szCs w:val="20"/>
              </w:rPr>
              <w:t xml:space="preserve">This ties the window boundary to valve parameters and gives −(i) a geometric interpretation as the boundary of the tangent-space region satisfying the valve inequality.</w:t>
            </w:r>
          </w:p>
          <w:p>
            <w:pPr>
              <w:spacing w:after="20" w:before="0"/>
            </w:pPr>
            <w:r>
              <w:rPr>
                <w:rFonts w:ascii="Garamond" w:cs="Garamond" w:eastAsia="Garamond" w:hAnsi="Garamond"/>
                <w:color w:val="8B1A1A"/>
                <w:sz w:val="20"/>
                <w:szCs w:val="20"/>
              </w:rPr>
              <w:t xml:space="preserve">Until defined, M5 has no formal grounding in the expression.</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8"/>
              <w:left w:val="single" w:color="1F4E79" w:sz="8"/>
              <w:bottom w:val="single" w:color="CCCCCC" w:sz="1"/>
              <w:right w:val="single" w:color="CCCCCC" w:sz="1"/>
            </w:tcBorders>
            <w:shd w:fill="F5F0FF" w:val="clear"/>
            <w:tcMar>
              <w:top w:type="dxa" w:w="120"/>
              <w:left w:type="dxa" w:w="200"/>
              <w:bottom w:type="dxa" w:w="120"/>
              <w:right w:type="dxa" w:w="200"/>
            </w:tcMar>
          </w:tcPr>
          <w:p>
            <w:pPr>
              <w:spacing w:after="60" w:before="0"/>
            </w:pPr>
            <w:r>
              <w:rPr>
                <w:rFonts w:ascii="Courier New" w:cs="Courier New" w:eastAsia="Courier New" w:hAnsi="Courier New"/>
                <w:b/>
                <w:bCs/>
                <w:color w:val="3D1A78"/>
                <w:sz w:val="22"/>
                <w:szCs w:val="22"/>
              </w:rPr>
              <w:t xml:space="preserve">M6  </w:t>
            </w:r>
            <w:r>
              <w:rPr>
                <w:rFonts w:ascii="Arial" w:cs="Arial" w:eastAsia="Arial" w:hAnsi="Arial"/>
                <w:b/>
                <w:bCs/>
                <w:color w:val="2C2C2C"/>
                <w:sz w:val="22"/>
                <w:szCs w:val="22"/>
              </w:rPr>
              <w:t xml:space="preserve">Residue Law  </w:t>
            </w:r>
            <w:r>
              <w:rPr>
                <w:rFonts w:ascii="Arial" w:cs="Arial" w:eastAsia="Arial" w:hAnsi="Arial"/>
                <w:b/>
                <w:bCs/>
                <w:color w:val="1F4E79"/>
                <w:sz w:val="20"/>
                <w:szCs w:val="20"/>
              </w:rPr>
              <w:t xml:space="preserve">[Strong]</w:t>
            </w:r>
          </w:p>
          <w:p>
            <w:pPr>
              <w:spacing w:after="40" w:before="60"/>
            </w:pPr>
            <w:r>
              <w:rPr>
                <w:rFonts w:ascii="Arial" w:cs="Arial" w:eastAsia="Arial" w:hAnsi="Arial"/>
                <w:b/>
                <w:bCs/>
                <w:color w:val="4A4A4A"/>
                <w:sz w:val="20"/>
                <w:szCs w:val="20"/>
              </w:rPr>
              <w:t xml:space="preserve">Derivation.</w:t>
            </w:r>
          </w:p>
          <w:p>
            <w:pPr>
              <w:spacing w:after="60" w:before="0"/>
            </w:pPr>
            <w:r>
              <w:rPr>
                <w:rFonts w:ascii="Garamond" w:cs="Garamond" w:eastAsia="Garamond" w:hAnsi="Garamond"/>
                <w:color w:val="2C2C2C"/>
                <w:sz w:val="20"/>
                <w:szCs w:val="20"/>
              </w:rPr>
              <w:t xml:space="preserve">The R subscript on ⇔R is the primary formal expression of residue. Each realized update writes into R via κ. R then enters all future gate evaluations, making prior realizations a direct constraint on future admissibility.</w:t>
            </w:r>
          </w:p>
          <w:p>
            <w:pPr>
              <w:spacing w:after="20" w:before="0"/>
              <w:ind w:left="360"/>
            </w:pPr>
            <w:r>
              <w:rPr>
                <w:rFonts w:ascii="Courier New" w:cs="Courier New" w:eastAsia="Courier New" w:hAnsi="Courier New"/>
                <w:color w:val="1F4E79"/>
                <w:sz w:val="18"/>
                <w:szCs w:val="18"/>
              </w:rPr>
              <w:t xml:space="preserve">R_{t+1} = R_t + κ · ΠAα(Σ NavT) − λ · R_t  [inscription minus decay]</w:t>
            </w:r>
          </w:p>
          <w:p>
            <w:pPr>
              <w:spacing w:after="40" w:before="80"/>
            </w:pPr>
            <w:r>
              <w:rPr>
                <w:rFonts w:ascii="Arial" w:cs="Arial" w:eastAsia="Arial" w:hAnsi="Arial"/>
                <w:b/>
                <w:bCs/>
                <w:color w:val="4A4A4A"/>
                <w:sz w:val="20"/>
                <w:szCs w:val="20"/>
              </w:rPr>
              <w:t xml:space="preserve">Vs. current candidate.</w:t>
            </w:r>
          </w:p>
          <w:p>
            <w:pPr>
              <w:spacing w:after="0" w:before="0"/>
            </w:pPr>
            <w:r>
              <w:rPr>
                <w:rFonts w:ascii="Garamond" w:cs="Garamond" w:eastAsia="Garamond" w:hAnsi="Garamond"/>
                <w:color w:val="2C2C2C"/>
                <w:sz w:val="20"/>
                <w:szCs w:val="20"/>
              </w:rPr>
              <w:t xml:space="preserve">Significantly enriched. The candidate states realized selections leave residue and residue constrains later selections. The expression shows the full feedback loop: residue enters the biconditional gate directly, creating path-dependent admissibility. This is a richer and more falsifiable mechanism.</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C2E" w:sz="8"/>
              <w:left w:val="single" w:color="1A5C2E" w:sz="8"/>
              <w:bottom w:val="single" w:color="CCCCCC" w:sz="1"/>
              <w:right w:val="single" w:color="CCCCCC" w:sz="1"/>
            </w:tcBorders>
            <w:shd w:fill="F0FFF4" w:val="clear"/>
            <w:tcMar>
              <w:top w:type="dxa" w:w="120"/>
              <w:left w:type="dxa" w:w="200"/>
              <w:bottom w:type="dxa" w:w="120"/>
              <w:right w:type="dxa" w:w="200"/>
            </w:tcMar>
          </w:tcPr>
          <w:p>
            <w:pPr>
              <w:spacing w:after="60" w:before="0"/>
            </w:pPr>
            <w:r>
              <w:rPr>
                <w:rFonts w:ascii="Courier New" w:cs="Courier New" w:eastAsia="Courier New" w:hAnsi="Courier New"/>
                <w:b/>
                <w:bCs/>
                <w:color w:val="3D1A78"/>
                <w:sz w:val="22"/>
                <w:szCs w:val="22"/>
              </w:rPr>
              <w:t xml:space="preserve">M7  </w:t>
            </w:r>
            <w:r>
              <w:rPr>
                <w:rFonts w:ascii="Arial" w:cs="Arial" w:eastAsia="Arial" w:hAnsi="Arial"/>
                <w:b/>
                <w:bCs/>
                <w:color w:val="2C2C2C"/>
                <w:sz w:val="22"/>
                <w:szCs w:val="22"/>
              </w:rPr>
              <w:t xml:space="preserve">Admissibility Window Law  </w:t>
            </w:r>
            <w:r>
              <w:rPr>
                <w:rFonts w:ascii="Arial" w:cs="Arial" w:eastAsia="Arial" w:hAnsi="Arial"/>
                <w:b/>
                <w:bCs/>
                <w:color w:val="1A5C2E"/>
                <w:sz w:val="20"/>
                <w:szCs w:val="20"/>
              </w:rPr>
              <w:t xml:space="preserve">[Perfect]</w:t>
            </w:r>
          </w:p>
          <w:p>
            <w:pPr>
              <w:spacing w:after="40" w:before="60"/>
            </w:pPr>
            <w:r>
              <w:rPr>
                <w:rFonts w:ascii="Arial" w:cs="Arial" w:eastAsia="Arial" w:hAnsi="Arial"/>
                <w:b/>
                <w:bCs/>
                <w:color w:val="4A4A4A"/>
                <w:sz w:val="20"/>
                <w:szCs w:val="20"/>
              </w:rPr>
              <w:t xml:space="preserve">Derivation.</w:t>
            </w:r>
          </w:p>
          <w:p>
            <w:pPr>
              <w:spacing w:after="60" w:before="0"/>
            </w:pPr>
            <w:r>
              <w:rPr>
                <w:rFonts w:ascii="Garamond" w:cs="Garamond" w:eastAsia="Garamond" w:hAnsi="Garamond"/>
                <w:color w:val="2C2C2C"/>
                <w:sz w:val="20"/>
                <w:szCs w:val="20"/>
              </w:rPr>
              <w:t xml:space="preserve">ΠAα is the direct formal expression of the admissibility window. Only NavT components within Aα survive into the state update; components outside are projected to zero. The window is the primary filter between raw mismatch and realized continuation.</w:t>
            </w:r>
          </w:p>
          <w:p>
            <w:pPr>
              <w:spacing w:after="20" w:before="0"/>
              <w:ind w:left="360"/>
            </w:pPr>
            <w:r>
              <w:rPr>
                <w:rFonts w:ascii="Courier New" w:cs="Courier New" w:eastAsia="Courier New" w:hAnsi="Courier New"/>
                <w:color w:val="1A5C2E"/>
                <w:sz w:val="18"/>
                <w:szCs w:val="18"/>
              </w:rPr>
              <w:t xml:space="preserve">ΠAα(Σ NavT) = { Nav component if δ ∈ Aα ; 0 otherwise }</w:t>
            </w:r>
          </w:p>
          <w:p>
            <w:pPr>
              <w:spacing w:after="40" w:before="80"/>
            </w:pPr>
            <w:r>
              <w:rPr>
                <w:rFonts w:ascii="Arial" w:cs="Arial" w:eastAsia="Arial" w:hAnsi="Arial"/>
                <w:b/>
                <w:bCs/>
                <w:color w:val="4A4A4A"/>
                <w:sz w:val="20"/>
                <w:szCs w:val="20"/>
              </w:rPr>
              <w:t xml:space="preserve">Vs. current candidate.</w:t>
            </w:r>
          </w:p>
          <w:p>
            <w:pPr>
              <w:spacing w:after="0" w:before="0"/>
            </w:pPr>
            <w:r>
              <w:rPr>
                <w:rFonts w:ascii="Garamond" w:cs="Garamond" w:eastAsia="Garamond" w:hAnsi="Garamond"/>
                <w:color w:val="2C2C2C"/>
                <w:sz w:val="20"/>
                <w:szCs w:val="20"/>
              </w:rPr>
              <w:t xml:space="preserve">Perfect match. M7 is a direct reading of the ΠAα operator. The expression does not merely support this law; it is the formal statement of it.</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B3F00" w:sz="8"/>
              <w:left w:val="single" w:color="7B3F00" w:sz="8"/>
              <w:bottom w:val="single" w:color="CCCCCC" w:sz="1"/>
              <w:right w:val="single" w:color="CCCCCC" w:sz="1"/>
            </w:tcBorders>
            <w:shd w:fill="F5F0FF" w:val="clear"/>
            <w:tcMar>
              <w:top w:type="dxa" w:w="120"/>
              <w:left w:type="dxa" w:w="200"/>
              <w:bottom w:type="dxa" w:w="120"/>
              <w:right w:type="dxa" w:w="200"/>
            </w:tcMar>
          </w:tcPr>
          <w:p>
            <w:pPr>
              <w:spacing w:after="60" w:before="0"/>
            </w:pPr>
            <w:r>
              <w:rPr>
                <w:rFonts w:ascii="Courier New" w:cs="Courier New" w:eastAsia="Courier New" w:hAnsi="Courier New"/>
                <w:b/>
                <w:bCs/>
                <w:color w:val="3D1A78"/>
                <w:sz w:val="22"/>
                <w:szCs w:val="22"/>
              </w:rPr>
              <w:t xml:space="preserve">M8  </w:t>
            </w:r>
            <w:r>
              <w:rPr>
                <w:rFonts w:ascii="Arial" w:cs="Arial" w:eastAsia="Arial" w:hAnsi="Arial"/>
                <w:b/>
                <w:bCs/>
                <w:color w:val="2C2C2C"/>
                <w:sz w:val="22"/>
                <w:szCs w:val="22"/>
              </w:rPr>
              <w:t xml:space="preserve">Deviation Propagation Law  </w:t>
            </w:r>
            <w:r>
              <w:rPr>
                <w:rFonts w:ascii="Arial" w:cs="Arial" w:eastAsia="Arial" w:hAnsi="Arial"/>
                <w:b/>
                <w:bCs/>
                <w:color w:val="7B3F00"/>
                <w:sz w:val="20"/>
                <w:szCs w:val="20"/>
              </w:rPr>
              <w:t xml:space="preserve">[Moderate]</w:t>
            </w:r>
          </w:p>
          <w:p>
            <w:pPr>
              <w:spacing w:after="40" w:before="60"/>
            </w:pPr>
            <w:r>
              <w:rPr>
                <w:rFonts w:ascii="Arial" w:cs="Arial" w:eastAsia="Arial" w:hAnsi="Arial"/>
                <w:b/>
                <w:bCs/>
                <w:color w:val="4A4A4A"/>
                <w:sz w:val="20"/>
                <w:szCs w:val="20"/>
              </w:rPr>
              <w:t xml:space="preserve">Derivation.</w:t>
            </w:r>
          </w:p>
          <w:p>
            <w:pPr>
              <w:spacing w:after="60" w:before="0"/>
            </w:pPr>
            <w:r>
              <w:rPr>
                <w:rFonts w:ascii="Garamond" w:cs="Garamond" w:eastAsia="Garamond" w:hAnsi="Garamond"/>
                <w:color w:val="2C2C2C"/>
                <w:sz w:val="20"/>
                <w:szCs w:val="20"/>
              </w:rPr>
              <w:t xml:space="preserve">NavT(ωα, ωβ) is a transport operation — it propagates the phase relationship across a structured transport frame T. The T subscript marks this as more than raw phase difference: it is navigated transport through a residue-conditioned medium. The frame T is necessary for M8 to follow but is not defined within the expression.</w:t>
            </w:r>
          </w:p>
          <w:p>
            <w:pPr>
              <w:spacing w:after="20" w:before="0"/>
              <w:ind w:left="360"/>
            </w:pPr>
            <w:r>
              <w:rPr>
                <w:rFonts w:ascii="Courier New" w:cs="Courier New" w:eastAsia="Courier New" w:hAnsi="Courier New"/>
                <w:color w:val="7B3F00"/>
                <w:sz w:val="18"/>
                <w:szCs w:val="18"/>
              </w:rPr>
              <w:t xml:space="preserve">NavT(ωα, ωβ) := T(ωα − ωβ, R, ρ)  [transport frame T must be defined]</w:t>
            </w:r>
          </w:p>
          <w:p>
            <w:pPr>
              <w:spacing w:after="40" w:before="80"/>
            </w:pPr>
            <w:r>
              <w:rPr>
                <w:rFonts w:ascii="Arial" w:cs="Arial" w:eastAsia="Arial" w:hAnsi="Arial"/>
                <w:b/>
                <w:bCs/>
                <w:color w:val="4A4A4A"/>
                <w:sz w:val="20"/>
                <w:szCs w:val="20"/>
              </w:rPr>
              <w:t xml:space="preserve">Vs. current candidate.</w:t>
            </w:r>
          </w:p>
          <w:p>
            <w:pPr>
              <w:spacing w:after="80" w:before="0"/>
            </w:pPr>
            <w:r>
              <w:rPr>
                <w:rFonts w:ascii="Garamond" w:cs="Garamond" w:eastAsia="Garamond" w:hAnsi="Garamond"/>
                <w:color w:val="2C2C2C"/>
                <w:sz w:val="20"/>
                <w:szCs w:val="20"/>
              </w:rPr>
              <w:t xml:space="preserve">Supported but not fully derived. The T subscript is necessary for M8 to follow, but T itself is not defined. Until T is given an explicit structure, M8 is supported rather than derived.</w:t>
            </w:r>
          </w:p>
          <w:p>
            <w:pPr>
              <w:spacing w:after="40" w:before="60"/>
            </w:pPr>
            <w:r>
              <w:rPr>
                <w:rFonts w:ascii="Arial" w:cs="Arial" w:eastAsia="Arial" w:hAnsi="Arial"/>
                <w:b/>
                <w:bCs/>
                <w:color w:val="8B1A1A"/>
                <w:sz w:val="20"/>
                <w:szCs w:val="20"/>
              </w:rPr>
              <w:t xml:space="preserve">LIMIT / OPEN</w:t>
            </w:r>
          </w:p>
          <w:p>
            <w:pPr>
              <w:spacing w:after="20" w:before="0"/>
            </w:pPr>
            <w:r>
              <w:rPr>
                <w:rFonts w:ascii="Garamond" w:cs="Garamond" w:eastAsia="Garamond" w:hAnsi="Garamond"/>
                <w:color w:val="8B1A1A"/>
                <w:sz w:val="20"/>
                <w:szCs w:val="20"/>
              </w:rPr>
              <w:t xml:space="preserve">Gap 2: NavT requires T defined explicitly as a function of residue R and transport geometry.</w:t>
            </w:r>
          </w:p>
          <w:p>
            <w:pPr>
              <w:spacing w:after="20" w:before="0"/>
            </w:pPr>
            <w:r>
              <w:rPr>
                <w:rFonts w:ascii="Garamond" w:cs="Garamond" w:eastAsia="Garamond" w:hAnsi="Garamond"/>
                <w:color w:val="8B1A1A"/>
                <w:sz w:val="20"/>
                <w:szCs w:val="20"/>
              </w:rPr>
              <w:t xml:space="preserve">Candidate: NavT(ωα, ωβ) := P_T[(ωα − ωβ) ⊗ Rαβ]</w:t>
            </w:r>
          </w:p>
          <w:p>
            <w:pPr>
              <w:spacing w:after="20" w:before="0"/>
            </w:pPr>
            <w:r>
              <w:rPr>
                <w:rFonts w:ascii="Garamond" w:cs="Garamond" w:eastAsia="Garamond" w:hAnsi="Garamond"/>
                <w:color w:val="8B1A1A"/>
                <w:sz w:val="20"/>
                <w:szCs w:val="20"/>
              </w:rPr>
              <w:t xml:space="preserve">where P_T is parallel transport along the residue connection Rαβ and ⊗ is the residue-weighted phase difference.</w:t>
            </w:r>
          </w:p>
          <w:p>
            <w:pPr>
              <w:spacing w:after="20" w:before="0"/>
            </w:pPr>
            <w:r>
              <w:rPr>
                <w:rFonts w:ascii="Garamond" w:cs="Garamond" w:eastAsia="Garamond" w:hAnsi="Garamond"/>
                <w:color w:val="8B1A1A"/>
                <w:sz w:val="20"/>
                <w:szCs w:val="20"/>
              </w:rPr>
              <w:t xml:space="preserve">This makes deviation propagation depend on shared residue history, not just instantaneous phase difference.</w:t>
            </w:r>
          </w:p>
          <w:p>
            <w:pPr>
              <w:spacing w:after="20" w:before="0"/>
            </w:pPr>
            <w:r>
              <w:rPr>
                <w:rFonts w:ascii="Garamond" w:cs="Garamond" w:eastAsia="Garamond" w:hAnsi="Garamond"/>
                <w:color w:val="8B1A1A"/>
                <w:sz w:val="20"/>
                <w:szCs w:val="20"/>
              </w:rPr>
              <w:t xml:space="preserve">Without this definition, M8 is phenomenological rather than derived.</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8"/>
              <w:left w:val="single" w:color="1F4E79" w:sz="8"/>
              <w:bottom w:val="single" w:color="CCCCCC" w:sz="1"/>
              <w:right w:val="single" w:color="CCCCCC" w:sz="1"/>
            </w:tcBorders>
            <w:shd w:fill="F5F0FF" w:val="clear"/>
            <w:tcMar>
              <w:top w:type="dxa" w:w="120"/>
              <w:left w:type="dxa" w:w="200"/>
              <w:bottom w:type="dxa" w:w="120"/>
              <w:right w:type="dxa" w:w="200"/>
            </w:tcMar>
          </w:tcPr>
          <w:p>
            <w:pPr>
              <w:spacing w:after="60" w:before="0"/>
            </w:pPr>
            <w:r>
              <w:rPr>
                <w:rFonts w:ascii="Courier New" w:cs="Courier New" w:eastAsia="Courier New" w:hAnsi="Courier New"/>
                <w:b/>
                <w:bCs/>
                <w:color w:val="3D1A78"/>
                <w:sz w:val="22"/>
                <w:szCs w:val="22"/>
              </w:rPr>
              <w:t xml:space="preserve">M9  </w:t>
            </w:r>
            <w:r>
              <w:rPr>
                <w:rFonts w:ascii="Arial" w:cs="Arial" w:eastAsia="Arial" w:hAnsi="Arial"/>
                <w:b/>
                <w:bCs/>
                <w:color w:val="2C2C2C"/>
                <w:sz w:val="22"/>
                <w:szCs w:val="22"/>
              </w:rPr>
              <w:t xml:space="preserve">Biased Transport Law  </w:t>
            </w:r>
            <w:r>
              <w:rPr>
                <w:rFonts w:ascii="Arial" w:cs="Arial" w:eastAsia="Arial" w:hAnsi="Arial"/>
                <w:b/>
                <w:bCs/>
                <w:color w:val="1F4E79"/>
                <w:sz w:val="20"/>
                <w:szCs w:val="20"/>
              </w:rPr>
              <w:t xml:space="preserve">[Strong]</w:t>
            </w:r>
          </w:p>
          <w:p>
            <w:pPr>
              <w:spacing w:after="40" w:before="60"/>
            </w:pPr>
            <w:r>
              <w:rPr>
                <w:rFonts w:ascii="Arial" w:cs="Arial" w:eastAsia="Arial" w:hAnsi="Arial"/>
                <w:b/>
                <w:bCs/>
                <w:color w:val="4A4A4A"/>
                <w:sz w:val="20"/>
                <w:szCs w:val="20"/>
              </w:rPr>
              <w:t xml:space="preserve">Derivation.</w:t>
            </w:r>
          </w:p>
          <w:p>
            <w:pPr>
              <w:spacing w:after="60" w:before="0"/>
            </w:pPr>
            <w:r>
              <w:rPr>
                <w:rFonts w:ascii="Garamond" w:cs="Garamond" w:eastAsia="Garamond" w:hAnsi="Garamond"/>
                <w:color w:val="2C2C2C"/>
                <w:sz w:val="20"/>
                <w:szCs w:val="20"/>
              </w:rPr>
              <w:t xml:space="preserve">ΠAα is applied to the full Nav sum before it contributes to the update. Transport is pre-filtered by α's admissibility structure. No Nav contribution reaches x′α unless it passes through Aα.</w:t>
            </w:r>
          </w:p>
          <w:p>
            <w:pPr>
              <w:spacing w:after="20" w:before="0"/>
              <w:ind w:left="360"/>
            </w:pPr>
            <w:r>
              <w:rPr>
                <w:rFonts w:ascii="Courier New" w:cs="Courier New" w:eastAsia="Courier New" w:hAnsi="Courier New"/>
                <w:color w:val="1F4E79"/>
                <w:sz w:val="18"/>
                <w:szCs w:val="18"/>
              </w:rPr>
              <w:t xml:space="preserve">ΠAα applied to Σ NavT (not after)  ⇒  transport is admissibility-filtered, not neutral</w:t>
            </w:r>
          </w:p>
          <w:p>
            <w:pPr>
              <w:spacing w:after="40" w:before="80"/>
            </w:pPr>
            <w:r>
              <w:rPr>
                <w:rFonts w:ascii="Arial" w:cs="Arial" w:eastAsia="Arial" w:hAnsi="Arial"/>
                <w:b/>
                <w:bCs/>
                <w:color w:val="4A4A4A"/>
                <w:sz w:val="20"/>
                <w:szCs w:val="20"/>
              </w:rPr>
              <w:t xml:space="preserve">Vs. current candidate.</w:t>
            </w:r>
          </w:p>
          <w:p>
            <w:pPr>
              <w:spacing w:after="0" w:before="0"/>
            </w:pPr>
            <w:r>
              <w:rPr>
                <w:rFonts w:ascii="Garamond" w:cs="Garamond" w:eastAsia="Garamond" w:hAnsi="Garamond"/>
                <w:color w:val="2C2C2C"/>
                <w:sz w:val="20"/>
                <w:szCs w:val="20"/>
              </w:rPr>
              <w:t xml:space="preserve">Strong match. The law follows directly from the position of ΠAα in the expression. The projection wraps the entire Nav sum rather than being applied post-hoc — that structural position is the formal meaning of biased transport.</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1A1A" w:sz="8"/>
              <w:left w:val="single" w:color="8B1A1A" w:sz="8"/>
              <w:bottom w:val="single" w:color="CCCCCC" w:sz="1"/>
              <w:right w:val="single" w:color="CCCCCC" w:sz="1"/>
            </w:tcBorders>
            <w:shd w:fill="FFF5F5" w:val="clear"/>
            <w:tcMar>
              <w:top w:type="dxa" w:w="120"/>
              <w:left w:type="dxa" w:w="200"/>
              <w:bottom w:type="dxa" w:w="120"/>
              <w:right w:type="dxa" w:w="200"/>
            </w:tcMar>
          </w:tcPr>
          <w:p>
            <w:pPr>
              <w:spacing w:after="60" w:before="0"/>
            </w:pPr>
            <w:r>
              <w:rPr>
                <w:rFonts w:ascii="Courier New" w:cs="Courier New" w:eastAsia="Courier New" w:hAnsi="Courier New"/>
                <w:b/>
                <w:bCs/>
                <w:color w:val="3D1A78"/>
                <w:sz w:val="22"/>
                <w:szCs w:val="22"/>
              </w:rPr>
              <w:t xml:space="preserve">M10  </w:t>
            </w:r>
            <w:r>
              <w:rPr>
                <w:rFonts w:ascii="Arial" w:cs="Arial" w:eastAsia="Arial" w:hAnsi="Arial"/>
                <w:b/>
                <w:bCs/>
                <w:color w:val="2C2C2C"/>
                <w:sz w:val="22"/>
                <w:szCs w:val="22"/>
              </w:rPr>
              <w:t xml:space="preserve">Coherent Source Interface Formation Law  </w:t>
            </w:r>
            <w:r>
              <w:rPr>
                <w:rFonts w:ascii="Arial" w:cs="Arial" w:eastAsia="Arial" w:hAnsi="Arial"/>
                <w:b/>
                <w:bCs/>
                <w:color w:val="8B1A1A"/>
                <w:sz w:val="20"/>
                <w:szCs w:val="20"/>
              </w:rPr>
              <w:t xml:space="preserve">[Demanded]</w:t>
            </w:r>
          </w:p>
          <w:p>
            <w:pPr>
              <w:spacing w:after="40" w:before="60"/>
            </w:pPr>
            <w:r>
              <w:rPr>
                <w:rFonts w:ascii="Arial" w:cs="Arial" w:eastAsia="Arial" w:hAnsi="Arial"/>
                <w:b/>
                <w:bCs/>
                <w:color w:val="4A4A4A"/>
                <w:sz w:val="20"/>
                <w:szCs w:val="20"/>
              </w:rPr>
              <w:t xml:space="preserve">Derivation.</w:t>
            </w:r>
          </w:p>
          <w:p>
            <w:pPr>
              <w:spacing w:after="60" w:before="0"/>
            </w:pPr>
            <w:r>
              <w:rPr>
                <w:rFonts w:ascii="Garamond" w:cs="Garamond" w:eastAsia="Garamond" w:hAnsi="Garamond"/>
                <w:color w:val="2C2C2C"/>
                <w:sz w:val="20"/>
                <w:szCs w:val="20"/>
              </w:rPr>
              <w:t xml:space="preserve">The expression assumes CSI(α) is defined but provides no formation rule. The derivation demands that such a rule exist. The natural candidate: β ∈ CSI(α) iff Aα and Aβ have non-trivial overlap under current R — mutual admissibility as the coupling criterion. CSI is therefore dynamically constituted.</w:t>
            </w:r>
          </w:p>
          <w:p>
            <w:pPr>
              <w:spacing w:after="20" w:before="0"/>
              <w:ind w:left="360"/>
            </w:pPr>
            <w:r>
              <w:rPr>
                <w:rFonts w:ascii="Courier New" w:cs="Courier New" w:eastAsia="Courier New" w:hAnsi="Courier New"/>
                <w:color w:val="8B1A1A"/>
                <w:sz w:val="18"/>
                <w:szCs w:val="18"/>
              </w:rPr>
              <w:t xml:space="preserve">β ∈ CSI(α)  ⟺  Aα ∩ Aβ ≠ ∅  under current R  [mutual admissibility coupling]</w:t>
            </w:r>
          </w:p>
          <w:p>
            <w:pPr>
              <w:spacing w:after="40" w:before="80"/>
            </w:pPr>
            <w:r>
              <w:rPr>
                <w:rFonts w:ascii="Arial" w:cs="Arial" w:eastAsia="Arial" w:hAnsi="Arial"/>
                <w:b/>
                <w:bCs/>
                <w:color w:val="4A4A4A"/>
                <w:sz w:val="20"/>
                <w:szCs w:val="20"/>
              </w:rPr>
              <w:t xml:space="preserve">Vs. current candidate.</w:t>
            </w:r>
          </w:p>
          <w:p>
            <w:pPr>
              <w:spacing w:after="80" w:before="0"/>
            </w:pPr>
            <w:r>
              <w:rPr>
                <w:rFonts w:ascii="Garamond" w:cs="Garamond" w:eastAsia="Garamond" w:hAnsi="Garamond"/>
                <w:color w:val="2C2C2C"/>
                <w:sz w:val="20"/>
                <w:szCs w:val="20"/>
              </w:rPr>
              <w:t xml:space="preserve">New law demanded by the expression. The working capture flags M10 as implied but unnamed. The expression makes the gap explicit and provides the natural formation rule: coupling constituted by mutual admissibility overlap, making CSI a function of R and current admissibility windows.</w:t>
            </w:r>
          </w:p>
          <w:p>
            <w:pPr>
              <w:spacing w:after="40" w:before="60"/>
            </w:pPr>
            <w:r>
              <w:rPr>
                <w:rFonts w:ascii="Arial" w:cs="Arial" w:eastAsia="Arial" w:hAnsi="Arial"/>
                <w:b/>
                <w:bCs/>
                <w:color w:val="8B1A1A"/>
                <w:sz w:val="20"/>
                <w:szCs w:val="20"/>
              </w:rPr>
              <w:t xml:space="preserve">LIMIT / OPEN</w:t>
            </w:r>
          </w:p>
          <w:p>
            <w:pPr>
              <w:spacing w:after="20" w:before="0"/>
            </w:pPr>
            <w:r>
              <w:rPr>
                <w:rFonts w:ascii="Garamond" w:cs="Garamond" w:eastAsia="Garamond" w:hAnsi="Garamond"/>
                <w:color w:val="8B1A1A"/>
                <w:sz w:val="20"/>
                <w:szCs w:val="20"/>
              </w:rPr>
              <w:t xml:space="preserve">Gap 3: CSI(α) formation rule is required for the expression to be closed.</w:t>
            </w:r>
          </w:p>
          <w:p>
            <w:pPr>
              <w:spacing w:after="20" w:before="0"/>
            </w:pPr>
            <w:r>
              <w:rPr>
                <w:rFonts w:ascii="Garamond" w:cs="Garamond" w:eastAsia="Garamond" w:hAnsi="Garamond"/>
                <w:color w:val="8B1A1A"/>
                <w:sz w:val="20"/>
                <w:szCs w:val="20"/>
              </w:rPr>
              <w:t xml:space="preserve">Proposed M10: β ∈ CSI(α) ⟺ Aα ∩ Aβ ≠ ∅ under current R.</w:t>
            </w:r>
          </w:p>
          <w:p>
            <w:pPr>
              <w:spacing w:after="20" w:before="0"/>
            </w:pPr>
            <w:r>
              <w:rPr>
                <w:rFonts w:ascii="Garamond" w:cs="Garamond" w:eastAsia="Garamond" w:hAnsi="Garamond"/>
                <w:color w:val="8B1A1A"/>
                <w:sz w:val="20"/>
                <w:szCs w:val="20"/>
              </w:rPr>
              <w:t xml:space="preserve">Consequence: CSI is dynamic — it gains and loses members as R evolves.</w:t>
            </w:r>
          </w:p>
          <w:p>
            <w:pPr>
              <w:spacing w:after="20" w:before="0"/>
            </w:pPr>
            <w:r>
              <w:rPr>
                <w:rFonts w:ascii="Garamond" w:cs="Garamond" w:eastAsia="Garamond" w:hAnsi="Garamond"/>
                <w:color w:val="8B1A1A"/>
                <w:sz w:val="20"/>
                <w:szCs w:val="20"/>
              </w:rPr>
              <w:t xml:space="preserve">Note: this definition depends on Aα being defined (Gap 1). Gap 1 → Gap 3 → closed expression.</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8"/>
              <w:left w:val="single" w:color="1F4E79" w:sz="8"/>
              <w:bottom w:val="single" w:color="CCCCCC" w:sz="1"/>
              <w:right w:val="single" w:color="CCCCCC" w:sz="1"/>
            </w:tcBorders>
            <w:shd w:fill="F5F0FF" w:val="clear"/>
            <w:tcMar>
              <w:top w:type="dxa" w:w="120"/>
              <w:left w:type="dxa" w:w="200"/>
              <w:bottom w:type="dxa" w:w="120"/>
              <w:right w:type="dxa" w:w="200"/>
            </w:tcMar>
          </w:tcPr>
          <w:p>
            <w:pPr>
              <w:spacing w:after="60" w:before="0"/>
            </w:pPr>
            <w:r>
              <w:rPr>
                <w:rFonts w:ascii="Courier New" w:cs="Courier New" w:eastAsia="Courier New" w:hAnsi="Courier New"/>
                <w:b/>
                <w:bCs/>
                <w:color w:val="3D1A78"/>
                <w:sz w:val="22"/>
                <w:szCs w:val="22"/>
              </w:rPr>
              <w:t xml:space="preserve">M11  </w:t>
            </w:r>
            <w:r>
              <w:rPr>
                <w:rFonts w:ascii="Arial" w:cs="Arial" w:eastAsia="Arial" w:hAnsi="Arial"/>
                <w:b/>
                <w:bCs/>
                <w:color w:val="2C2C2C"/>
                <w:sz w:val="22"/>
                <w:szCs w:val="22"/>
              </w:rPr>
              <w:t xml:space="preserve">Geometry Projection Law  </w:t>
            </w:r>
            <w:r>
              <w:rPr>
                <w:rFonts w:ascii="Arial" w:cs="Arial" w:eastAsia="Arial" w:hAnsi="Arial"/>
                <w:b/>
                <w:bCs/>
                <w:color w:val="1F4E79"/>
                <w:sz w:val="20"/>
                <w:szCs w:val="20"/>
              </w:rPr>
              <w:t xml:space="preserve">[Strong]</w:t>
            </w:r>
          </w:p>
          <w:p>
            <w:pPr>
              <w:spacing w:after="40" w:before="60"/>
            </w:pPr>
            <w:r>
              <w:rPr>
                <w:rFonts w:ascii="Arial" w:cs="Arial" w:eastAsia="Arial" w:hAnsi="Arial"/>
                <w:b/>
                <w:bCs/>
                <w:color w:val="4A4A4A"/>
                <w:sz w:val="20"/>
                <w:szCs w:val="20"/>
              </w:rPr>
              <w:t xml:space="preserve">Derivation.</w:t>
            </w:r>
          </w:p>
          <w:p>
            <w:pPr>
              <w:spacing w:after="60" w:before="0"/>
            </w:pPr>
            <w:r>
              <w:rPr>
                <w:rFonts w:ascii="Garamond" w:cs="Garamond" w:eastAsia="Garamond" w:hAnsi="Garamond"/>
                <w:color w:val="2C2C2C"/>
                <w:sz w:val="20"/>
                <w:szCs w:val="20"/>
              </w:rPr>
              <w:t xml:space="preserve">When the update ΠAα(Σ NavT) converges to a persistent structure across iterations — when the same projection recurs under accumulating R — that stable admissibility structure is geometry. Geometry emerges from the convergence behavior of the projection operator under residue feedback.</w:t>
            </w:r>
          </w:p>
          <w:p>
            <w:pPr>
              <w:spacing w:after="20" w:before="0"/>
              <w:ind w:left="360"/>
            </w:pPr>
            <w:r>
              <w:rPr>
                <w:rFonts w:ascii="Courier New" w:cs="Courier New" w:eastAsia="Courier New" w:hAnsi="Courier New"/>
                <w:color w:val="1F4E79"/>
                <w:sz w:val="18"/>
                <w:szCs w:val="18"/>
              </w:rPr>
              <w:t xml:space="preserve">ΠAα(Σ NavT) → stable as R → R*  ⇒  persistent admissibility structure := geometry</w:t>
            </w:r>
          </w:p>
          <w:p>
            <w:pPr>
              <w:spacing w:after="40" w:before="80"/>
            </w:pPr>
            <w:r>
              <w:rPr>
                <w:rFonts w:ascii="Arial" w:cs="Arial" w:eastAsia="Arial" w:hAnsi="Arial"/>
                <w:b/>
                <w:bCs/>
                <w:color w:val="4A4A4A"/>
                <w:sz w:val="20"/>
                <w:szCs w:val="20"/>
              </w:rPr>
              <w:t xml:space="preserve">Vs. current candidate.</w:t>
            </w:r>
          </w:p>
          <w:p>
            <w:pPr>
              <w:spacing w:after="0" w:before="0"/>
            </w:pPr>
            <w:r>
              <w:rPr>
                <w:rFonts w:ascii="Garamond" w:cs="Garamond" w:eastAsia="Garamond" w:hAnsi="Garamond"/>
                <w:color w:val="2C2C2C"/>
                <w:sz w:val="20"/>
                <w:szCs w:val="20"/>
              </w:rPr>
              <w:t xml:space="preserve">Strong match. The expression grounds geometry emergence in convergence under R. The candidate states resolved mismatch becomes persistent admissibility structure; the expression shows this is the fixed-point behavior of the update rule.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8"/>
              <w:left w:val="single" w:color="1F4E79" w:sz="8"/>
              <w:bottom w:val="single" w:color="CCCCCC" w:sz="1"/>
              <w:right w:val="single" w:color="CCCCCC" w:sz="1"/>
            </w:tcBorders>
            <w:shd w:fill="F5F0FF" w:val="clear"/>
            <w:tcMar>
              <w:top w:type="dxa" w:w="120"/>
              <w:left w:type="dxa" w:w="200"/>
              <w:bottom w:type="dxa" w:w="120"/>
              <w:right w:type="dxa" w:w="200"/>
            </w:tcMar>
          </w:tcPr>
          <w:p>
            <w:pPr>
              <w:spacing w:after="60" w:before="0"/>
            </w:pPr>
            <w:r>
              <w:rPr>
                <w:rFonts w:ascii="Courier New" w:cs="Courier New" w:eastAsia="Courier New" w:hAnsi="Courier New"/>
                <w:b/>
                <w:bCs/>
                <w:color w:val="3D1A78"/>
                <w:sz w:val="22"/>
                <w:szCs w:val="22"/>
              </w:rPr>
              <w:t xml:space="preserve">M12  </w:t>
            </w:r>
            <w:r>
              <w:rPr>
                <w:rFonts w:ascii="Arial" w:cs="Arial" w:eastAsia="Arial" w:hAnsi="Arial"/>
                <w:b/>
                <w:bCs/>
                <w:color w:val="2C2C2C"/>
                <w:sz w:val="22"/>
                <w:szCs w:val="22"/>
              </w:rPr>
              <w:t xml:space="preserve">Curvature Failure Law  </w:t>
            </w:r>
            <w:r>
              <w:rPr>
                <w:rFonts w:ascii="Arial" w:cs="Arial" w:eastAsia="Arial" w:hAnsi="Arial"/>
                <w:b/>
                <w:bCs/>
                <w:color w:val="1F4E79"/>
                <w:sz w:val="20"/>
                <w:szCs w:val="20"/>
              </w:rPr>
              <w:t xml:space="preserve">[Strong]</w:t>
            </w:r>
          </w:p>
          <w:p>
            <w:pPr>
              <w:spacing w:after="40" w:before="60"/>
            </w:pPr>
            <w:r>
              <w:rPr>
                <w:rFonts w:ascii="Arial" w:cs="Arial" w:eastAsia="Arial" w:hAnsi="Arial"/>
                <w:b/>
                <w:bCs/>
                <w:color w:val="4A4A4A"/>
                <w:sz w:val="20"/>
                <w:szCs w:val="20"/>
              </w:rPr>
              <w:t xml:space="preserve">Derivation.</w:t>
            </w:r>
          </w:p>
          <w:p>
            <w:pPr>
              <w:spacing w:after="60" w:before="0"/>
            </w:pPr>
            <w:r>
              <w:rPr>
                <w:rFonts w:ascii="Garamond" w:cs="Garamond" w:eastAsia="Garamond" w:hAnsi="Garamond"/>
                <w:color w:val="2C2C2C"/>
                <w:sz w:val="20"/>
                <w:szCs w:val="20"/>
              </w:rPr>
              <w:t xml:space="preserve">Curvature failure occurs when ΠAα fails to project coherently: the admissibility window narrows to the point that NavT contributions from CSI(α) are systematically excluded. Projection norm approaches zero while the raw Nav sum remains non-zero.</w:t>
            </w:r>
          </w:p>
          <w:p>
            <w:pPr>
              <w:spacing w:after="20" w:before="0"/>
              <w:ind w:left="360"/>
            </w:pPr>
            <w:r>
              <w:rPr>
                <w:rFonts w:ascii="Courier New" w:cs="Courier New" w:eastAsia="Courier New" w:hAnsi="Courier New"/>
                <w:color w:val="1F4E79"/>
                <w:sz w:val="18"/>
                <w:szCs w:val="18"/>
              </w:rPr>
              <w:t xml:space="preserve">‖ΠAα(Σ NavT)‖ → 0  while  Σ‖NavT‖ &gt; 0  ⇒  curvature failure</w:t>
            </w:r>
          </w:p>
          <w:p>
            <w:pPr>
              <w:spacing w:after="40" w:before="80"/>
            </w:pPr>
            <w:r>
              <w:rPr>
                <w:rFonts w:ascii="Arial" w:cs="Arial" w:eastAsia="Arial" w:hAnsi="Arial"/>
                <w:b/>
                <w:bCs/>
                <w:color w:val="4A4A4A"/>
                <w:sz w:val="20"/>
                <w:szCs w:val="20"/>
              </w:rPr>
              <w:t xml:space="preserve">Vs. current candidate.</w:t>
            </w:r>
          </w:p>
          <w:p>
            <w:pPr>
              <w:spacing w:after="0" w:before="0"/>
            </w:pPr>
            <w:r>
              <w:rPr>
                <w:rFonts w:ascii="Garamond" w:cs="Garamond" w:eastAsia="Garamond" w:hAnsi="Garamond"/>
                <w:color w:val="2C2C2C"/>
                <w:sz w:val="20"/>
                <w:szCs w:val="20"/>
              </w:rPr>
              <w:t xml:space="preserve">Cleaner than the current candidate. The working capture names M12 as Curvature Failure but does not fully define it. The expression provides a precise failure condition: projection collapse under window contraction — formally derivable and more testable.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8"/>
              <w:left w:val="single" w:color="1F4E79" w:sz="8"/>
              <w:bottom w:val="single" w:color="CCCCCC" w:sz="1"/>
              <w:right w:val="single" w:color="CCCCCC" w:sz="1"/>
            </w:tcBorders>
            <w:shd w:fill="F5F0FF" w:val="clear"/>
            <w:tcMar>
              <w:top w:type="dxa" w:w="120"/>
              <w:left w:type="dxa" w:w="200"/>
              <w:bottom w:type="dxa" w:w="120"/>
              <w:right w:type="dxa" w:w="200"/>
            </w:tcMar>
          </w:tcPr>
          <w:p>
            <w:pPr>
              <w:spacing w:after="60" w:before="0"/>
            </w:pPr>
            <w:r>
              <w:rPr>
                <w:rFonts w:ascii="Courier New" w:cs="Courier New" w:eastAsia="Courier New" w:hAnsi="Courier New"/>
                <w:b/>
                <w:bCs/>
                <w:color w:val="3D1A78"/>
                <w:sz w:val="22"/>
                <w:szCs w:val="22"/>
              </w:rPr>
              <w:t xml:space="preserve">M13  </w:t>
            </w:r>
            <w:r>
              <w:rPr>
                <w:rFonts w:ascii="Arial" w:cs="Arial" w:eastAsia="Arial" w:hAnsi="Arial"/>
                <w:b/>
                <w:bCs/>
                <w:color w:val="2C2C2C"/>
                <w:sz w:val="22"/>
                <w:szCs w:val="22"/>
              </w:rPr>
              <w:t xml:space="preserve">Collapse Law  </w:t>
            </w:r>
            <w:r>
              <w:rPr>
                <w:rFonts w:ascii="Arial" w:cs="Arial" w:eastAsia="Arial" w:hAnsi="Arial"/>
                <w:b/>
                <w:bCs/>
                <w:color w:val="1F4E79"/>
                <w:sz w:val="20"/>
                <w:szCs w:val="20"/>
              </w:rPr>
              <w:t xml:space="preserve">[Strong]</w:t>
            </w:r>
          </w:p>
          <w:p>
            <w:pPr>
              <w:spacing w:after="40" w:before="60"/>
            </w:pPr>
            <w:r>
              <w:rPr>
                <w:rFonts w:ascii="Arial" w:cs="Arial" w:eastAsia="Arial" w:hAnsi="Arial"/>
                <w:b/>
                <w:bCs/>
                <w:color w:val="4A4A4A"/>
                <w:sz w:val="20"/>
                <w:szCs w:val="20"/>
              </w:rPr>
              <w:t xml:space="preserve">Derivation.</w:t>
            </w:r>
          </w:p>
          <w:p>
            <w:pPr>
              <w:spacing w:after="60" w:before="0"/>
            </w:pPr>
            <w:r>
              <w:rPr>
                <w:rFonts w:ascii="Garamond" w:cs="Garamond" w:eastAsia="Garamond" w:hAnsi="Garamond"/>
                <w:color w:val="2C2C2C"/>
                <w:sz w:val="20"/>
                <w:szCs w:val="20"/>
              </w:rPr>
              <w:t xml:space="preserve">Collapse occurs when Eα &gt; 0 can no longer be maintained: the ⇔R gate closes because the admissibility valve A(ε, ρ, R) falls below threshold. Collapse is not absence of existence but failure of recoupling capacity.</w:t>
            </w:r>
          </w:p>
          <w:p>
            <w:pPr>
              <w:spacing w:after="20" w:before="0"/>
              <w:ind w:left="360"/>
            </w:pPr>
            <w:r>
              <w:rPr>
                <w:rFonts w:ascii="Courier New" w:cs="Courier New" w:eastAsia="Courier New" w:hAnsi="Courier New"/>
                <w:color w:val="1F4E79"/>
                <w:sz w:val="18"/>
                <w:szCs w:val="18"/>
              </w:rPr>
              <w:t xml:space="preserve">A(ε, ρ, R) = σ(ρ + αR − βε − θ) &lt; threshold  ⇒  ⇔R closes  ⇒  x′α = xα</w:t>
            </w:r>
          </w:p>
          <w:p>
            <w:pPr>
              <w:spacing w:after="40" w:before="80"/>
            </w:pPr>
            <w:r>
              <w:rPr>
                <w:rFonts w:ascii="Arial" w:cs="Arial" w:eastAsia="Arial" w:hAnsi="Arial"/>
                <w:b/>
                <w:bCs/>
                <w:color w:val="4A4A4A"/>
                <w:sz w:val="20"/>
                <w:szCs w:val="20"/>
              </w:rPr>
              <w:t xml:space="preserve">Vs. current candidate.</w:t>
            </w:r>
          </w:p>
          <w:p>
            <w:pPr>
              <w:spacing w:after="0" w:before="0"/>
            </w:pPr>
            <w:r>
              <w:rPr>
                <w:rFonts w:ascii="Garamond" w:cs="Garamond" w:eastAsia="Garamond" w:hAnsi="Garamond"/>
                <w:color w:val="2C2C2C"/>
                <w:sz w:val="20"/>
                <w:szCs w:val="20"/>
              </w:rPr>
              <w:t xml:space="preserve">Mechanistically precise. The valve law A(ε, ρ, R) yields the collapse condition directly. The candidate states collapse occurs when mismatch accumulation exceeds recoupling capacity; the expression gives the exact threshold function.</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C2E" w:sz="8"/>
              <w:left w:val="single" w:color="1A5C2E" w:sz="8"/>
              <w:bottom w:val="single" w:color="CCCCCC" w:sz="1"/>
              <w:right w:val="single" w:color="CCCCCC" w:sz="1"/>
            </w:tcBorders>
            <w:shd w:fill="F0FFF4" w:val="clear"/>
            <w:tcMar>
              <w:top w:type="dxa" w:w="120"/>
              <w:left w:type="dxa" w:w="200"/>
              <w:bottom w:type="dxa" w:w="120"/>
              <w:right w:type="dxa" w:w="200"/>
            </w:tcMar>
          </w:tcPr>
          <w:p>
            <w:pPr>
              <w:spacing w:after="60" w:before="0"/>
            </w:pPr>
            <w:r>
              <w:rPr>
                <w:rFonts w:ascii="Courier New" w:cs="Courier New" w:eastAsia="Courier New" w:hAnsi="Courier New"/>
                <w:b/>
                <w:bCs/>
                <w:color w:val="3D1A78"/>
                <w:sz w:val="22"/>
                <w:szCs w:val="22"/>
              </w:rPr>
              <w:t xml:space="preserve">M14  </w:t>
            </w:r>
            <w:r>
              <w:rPr>
                <w:rFonts w:ascii="Arial" w:cs="Arial" w:eastAsia="Arial" w:hAnsi="Arial"/>
                <w:b/>
                <w:bCs/>
                <w:color w:val="2C2C2C"/>
                <w:sz w:val="22"/>
                <w:szCs w:val="22"/>
              </w:rPr>
              <w:t xml:space="preserve">Closure Rule  </w:t>
            </w:r>
            <w:r>
              <w:rPr>
                <w:rFonts w:ascii="Arial" w:cs="Arial" w:eastAsia="Arial" w:hAnsi="Arial"/>
                <w:b/>
                <w:bCs/>
                <w:color w:val="1A5C2E"/>
                <w:sz w:val="20"/>
                <w:szCs w:val="20"/>
              </w:rPr>
              <w:t xml:space="preserve">[Perfect]</w:t>
            </w:r>
          </w:p>
          <w:p>
            <w:pPr>
              <w:spacing w:after="40" w:before="60"/>
            </w:pPr>
            <w:r>
              <w:rPr>
                <w:rFonts w:ascii="Arial" w:cs="Arial" w:eastAsia="Arial" w:hAnsi="Arial"/>
                <w:b/>
                <w:bCs/>
                <w:color w:val="4A4A4A"/>
                <w:sz w:val="20"/>
                <w:szCs w:val="20"/>
              </w:rPr>
              <w:t xml:space="preserve">Derivation.</w:t>
            </w:r>
          </w:p>
          <w:p>
            <w:pPr>
              <w:spacing w:after="60" w:before="0"/>
            </w:pPr>
            <w:r>
              <w:rPr>
                <w:rFonts w:ascii="Garamond" w:cs="Garamond" w:eastAsia="Garamond" w:hAnsi="Garamond"/>
                <w:color w:val="2C2C2C"/>
                <w:sz w:val="20"/>
                <w:szCs w:val="20"/>
              </w:rPr>
              <w:t xml:space="preserve">The ⇔R connective imposes a metatheoretical constraint: any law derived from the existence condition (Eα &gt; 0) must remain consistent when read from the update rule side, and conversely, under the same residue evaluation context. The expression enforces this structurally rather than by assertion.</w:t>
            </w:r>
          </w:p>
          <w:p>
            <w:pPr>
              <w:spacing w:after="20" w:before="0"/>
              <w:ind w:left="360"/>
            </w:pPr>
            <w:r>
              <w:rPr>
                <w:rFonts w:ascii="Courier New" w:cs="Courier New" w:eastAsia="Courier New" w:hAnsi="Courier New"/>
                <w:color w:val="1A5C2E"/>
                <w:sz w:val="18"/>
                <w:szCs w:val="18"/>
              </w:rPr>
              <w:t xml:space="preserve">(Eα &gt; 0  ⇒  update)  AND  (update  ⇒  Eα &gt; 0)  must hold simultaneously under R</w:t>
            </w:r>
          </w:p>
          <w:p>
            <w:pPr>
              <w:spacing w:after="40" w:before="80"/>
            </w:pPr>
            <w:r>
              <w:rPr>
                <w:rFonts w:ascii="Arial" w:cs="Arial" w:eastAsia="Arial" w:hAnsi="Arial"/>
                <w:b/>
                <w:bCs/>
                <w:color w:val="4A4A4A"/>
                <w:sz w:val="20"/>
                <w:szCs w:val="20"/>
              </w:rPr>
              <w:t xml:space="preserve">Vs. current candidate.</w:t>
            </w:r>
          </w:p>
          <w:p>
            <w:pPr>
              <w:spacing w:after="0" w:before="0"/>
            </w:pPr>
            <w:r>
              <w:rPr>
                <w:rFonts w:ascii="Garamond" w:cs="Garamond" w:eastAsia="Garamond" w:hAnsi="Garamond"/>
                <w:color w:val="2C2C2C"/>
                <w:sz w:val="20"/>
                <w:szCs w:val="20"/>
              </w:rPr>
              <w:t xml:space="preserve">Perfect match. M14 is the statement that ⇔R is genuine. The expression makes this formal: the biconditional is not a notational convenience but a structural commitment that constrains every derived law to be readable from both directions.</w:t>
            </w:r>
          </w:p>
        </w:tc>
      </w:tr>
    </w:tbl>
    <w:p>
      <w:r>
        <w:br w:type="page"/>
      </w:r>
    </w:p>
    <w:p>
      <w:pPr>
        <w:pStyle w:val="Heading1"/>
        <w:pBdr>
          <w:bottom w:val="single" w:color="1F4E79" w:sz="4"/>
        </w:pBdr>
        <w:spacing w:after="120" w:before="360"/>
      </w:pPr>
      <w:r>
        <w:rPr>
          <w:rFonts w:ascii="Arial" w:cs="Arial" w:eastAsia="Arial" w:hAnsi="Arial"/>
          <w:b/>
          <w:bCs/>
          <w:color w:val="1F4E79"/>
          <w:sz w:val="30"/>
          <w:szCs w:val="30"/>
        </w:rPr>
        <w:t xml:space="preserve">IV.  Required Definitions (Gap Closure)</w:t>
      </w:r>
    </w:p>
    <w:p>
      <w:pPr>
        <w:spacing w:after="80" w:before="80" w:line="280"/>
        <w:jc w:val="both"/>
      </w:pPr>
      <w:r>
        <w:rPr>
          <w:rFonts w:ascii="Garamond" w:cs="Garamond" w:eastAsia="Garamond" w:hAnsi="Garamond"/>
          <w:b w:val="false"/>
          <w:bCs w:val="false"/>
          <w:i w:val="false"/>
          <w:iCs w:val="false"/>
          <w:color w:val="2C2C2C"/>
          <w:sz w:val="22"/>
          <w:szCs w:val="22"/>
        </w:rPr>
        <w:t xml:space="preserve">The core expression is generative for all fourteen M-Laws but demands three supplementary definitional commitments before the derivation is fully closed. These are not defects in the expression; they are theoretical obligations that the expression makes explicit. The gaps are partially ordered.</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1A1A" w:sz="8"/>
              <w:left w:val="single" w:color="8B1A1A" w:sz="8"/>
              <w:bottom w:val="single" w:color="CCCCCC" w:sz="1"/>
              <w:right w:val="single" w:color="CCCCCC" w:sz="1"/>
            </w:tcBorders>
            <w:shd w:fill="FFF5F5" w:val="clear"/>
            <w:tcMar>
              <w:top w:type="dxa" w:w="100"/>
              <w:left w:type="dxa" w:w="200"/>
              <w:bottom w:type="dxa" w:w="100"/>
              <w:right w:type="dxa" w:w="200"/>
            </w:tcMar>
          </w:tcPr>
          <w:p>
            <w:pPr>
              <w:spacing w:after="60" w:before="0"/>
            </w:pPr>
            <w:r>
              <w:rPr>
                <w:rFonts w:ascii="Arial" w:cs="Arial" w:eastAsia="Arial" w:hAnsi="Arial"/>
                <w:b/>
                <w:bCs/>
                <w:color w:val="8B1A1A"/>
                <w:sz w:val="20"/>
                <w:szCs w:val="20"/>
              </w:rPr>
              <w:t xml:space="preserve">Gap 1 — Aα Orientation (required by M5)</w:t>
            </w:r>
          </w:p>
          <w:p>
            <w:pPr>
              <w:spacing w:after="40" w:before="0"/>
            </w:pPr>
            <w:r>
              <w:rPr>
                <w:rFonts w:ascii="Garamond" w:cs="Garamond" w:eastAsia="Garamond" w:hAnsi="Garamond"/>
                <w:color w:val="2C2C2C"/>
                <w:sz w:val="20"/>
                <w:szCs w:val="20"/>
              </w:rPr>
              <w:t xml:space="preserve">The admissibility window Aα must be given an explicit oriented structure incorporating ωα and Rα.</w:t>
            </w:r>
          </w:p>
          <w:p>
            <w:pPr>
              <w:spacing w:after="40" w:before="0"/>
            </w:pPr>
            <w:r>
              <w:rPr>
                <w:rFonts w:ascii="Garamond" w:cs="Garamond" w:eastAsia="Garamond" w:hAnsi="Garamond"/>
                <w:color w:val="2C2C2C"/>
                <w:sz w:val="20"/>
                <w:szCs w:val="20"/>
              </w:rPr>
              <w:t xml:space="preserve">Without this, M5 (Reference / Orientation Law) is supported by the expression but not derived from it.</w:t>
            </w:r>
          </w:p>
          <w:p>
            <w:pPr>
              <w:spacing w:after="40" w:before="0"/>
            </w:pPr>
            <w:r>
              <w:rPr>
                <w:rFonts w:ascii="Garamond" w:cs="Garamond" w:eastAsia="Garamond" w:hAnsi="Garamond"/>
                <w:color w:val="2C2C2C"/>
                <w:sz w:val="20"/>
                <w:szCs w:val="20"/>
              </w:rPr>
              <w:t xml:space="preserve"/>
            </w:r>
          </w:p>
          <w:p>
            <w:pPr>
              <w:spacing w:after="40" w:before="0"/>
            </w:pPr>
            <w:r>
              <w:rPr>
                <w:rFonts w:ascii="Garamond" w:cs="Garamond" w:eastAsia="Garamond" w:hAnsi="Garamond"/>
                <w:color w:val="2C2C2C"/>
                <w:sz w:val="20"/>
                <w:szCs w:val="20"/>
              </w:rPr>
              <w:t xml:space="preserve">Candidate definition:</w:t>
            </w:r>
          </w:p>
          <w:p>
            <w:pPr>
              <w:spacing w:after="40" w:before="0"/>
            </w:pPr>
            <w:r>
              <w:rPr>
                <w:rFonts w:ascii="Garamond" w:cs="Garamond" w:eastAsia="Garamond" w:hAnsi="Garamond"/>
                <w:color w:val="2C2C2C"/>
                <w:sz w:val="20"/>
                <w:szCs w:val="20"/>
              </w:rPr>
              <w:t xml:space="preserve">  Aα := { δ ∈ T_{xα}M : ρα + αRα − β|δ| − θ &gt; 0 }</w:t>
            </w:r>
          </w:p>
          <w:p>
            <w:pPr>
              <w:spacing w:after="40" w:before="0"/>
            </w:pPr>
            <w:r>
              <w:rPr>
                <w:rFonts w:ascii="Garamond" w:cs="Garamond" w:eastAsia="Garamond" w:hAnsi="Garamond"/>
                <w:color w:val="2C2C2C"/>
                <w:sz w:val="20"/>
                <w:szCs w:val="20"/>
              </w:rPr>
              <w:t xml:space="preserve"/>
            </w:r>
          </w:p>
          <w:p>
            <w:pPr>
              <w:spacing w:after="40" w:before="0"/>
            </w:pPr>
            <w:r>
              <w:rPr>
                <w:rFonts w:ascii="Garamond" w:cs="Garamond" w:eastAsia="Garamond" w:hAnsi="Garamond"/>
                <w:color w:val="2C2C2C"/>
                <w:sz w:val="20"/>
                <w:szCs w:val="20"/>
              </w:rPr>
              <w:t xml:space="preserve">This ties the window boundary to valve parameters, makes Aα a function of current state and residue, and gives the −(i) reference condition a geometric interpretation as the boundary of the tangent-space region satisfying the valve inequality.</w:t>
            </w:r>
          </w:p>
          <w:p>
            <w:pPr>
              <w:spacing w:after="40" w:before="0"/>
            </w:pPr>
            <w:r>
              <w:rPr>
                <w:rFonts w:ascii="Garamond" w:cs="Garamond" w:eastAsia="Garamond" w:hAnsi="Garamond"/>
                <w:color w:val="2C2C2C"/>
                <w:sz w:val="20"/>
                <w:szCs w:val="20"/>
              </w:rPr>
              <w:t xml:space="preserve">Until defined, M5 has no formal grounding in the expression.</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1A1A" w:sz="8"/>
              <w:left w:val="single" w:color="8B1A1A" w:sz="8"/>
              <w:bottom w:val="single" w:color="CCCCCC" w:sz="1"/>
              <w:right w:val="single" w:color="CCCCCC" w:sz="1"/>
            </w:tcBorders>
            <w:shd w:fill="FFF5F5" w:val="clear"/>
            <w:tcMar>
              <w:top w:type="dxa" w:w="100"/>
              <w:left w:type="dxa" w:w="200"/>
              <w:bottom w:type="dxa" w:w="100"/>
              <w:right w:type="dxa" w:w="200"/>
            </w:tcMar>
          </w:tcPr>
          <w:p>
            <w:pPr>
              <w:spacing w:after="60" w:before="0"/>
            </w:pPr>
            <w:r>
              <w:rPr>
                <w:rFonts w:ascii="Arial" w:cs="Arial" w:eastAsia="Arial" w:hAnsi="Arial"/>
                <w:b/>
                <w:bCs/>
                <w:color w:val="8B1A1A"/>
                <w:sz w:val="20"/>
                <w:szCs w:val="20"/>
              </w:rPr>
              <w:t xml:space="preserve">Gap 2 — NavT Transport Structure (required by M8)</w:t>
            </w:r>
          </w:p>
          <w:p>
            <w:pPr>
              <w:spacing w:after="40" w:before="0"/>
            </w:pPr>
            <w:r>
              <w:rPr>
                <w:rFonts w:ascii="Garamond" w:cs="Garamond" w:eastAsia="Garamond" w:hAnsi="Garamond"/>
                <w:color w:val="2C2C2C"/>
                <w:sz w:val="20"/>
                <w:szCs w:val="20"/>
              </w:rPr>
              <w:t xml:space="preserve">The T subscript on NavT must be given an explicit structure involving source, residue, and transport frames.</w:t>
            </w:r>
          </w:p>
          <w:p>
            <w:pPr>
              <w:spacing w:after="40" w:before="0"/>
            </w:pPr>
            <w:r>
              <w:rPr>
                <w:rFonts w:ascii="Garamond" w:cs="Garamond" w:eastAsia="Garamond" w:hAnsi="Garamond"/>
                <w:color w:val="2C2C2C"/>
                <w:sz w:val="20"/>
                <w:szCs w:val="20"/>
              </w:rPr>
              <w:t xml:space="preserve">Without this, M8 (Deviation Propagation Law) is phenomenological.</w:t>
            </w:r>
          </w:p>
          <w:p>
            <w:pPr>
              <w:spacing w:after="40" w:before="0"/>
            </w:pPr>
            <w:r>
              <w:rPr>
                <w:rFonts w:ascii="Garamond" w:cs="Garamond" w:eastAsia="Garamond" w:hAnsi="Garamond"/>
                <w:color w:val="2C2C2C"/>
                <w:sz w:val="20"/>
                <w:szCs w:val="20"/>
              </w:rPr>
              <w:t xml:space="preserve"/>
            </w:r>
          </w:p>
          <w:p>
            <w:pPr>
              <w:spacing w:after="40" w:before="0"/>
            </w:pPr>
            <w:r>
              <w:rPr>
                <w:rFonts w:ascii="Garamond" w:cs="Garamond" w:eastAsia="Garamond" w:hAnsi="Garamond"/>
                <w:color w:val="2C2C2C"/>
                <w:sz w:val="20"/>
                <w:szCs w:val="20"/>
              </w:rPr>
              <w:t xml:space="preserve">Candidate definition:</w:t>
            </w:r>
          </w:p>
          <w:p>
            <w:pPr>
              <w:spacing w:after="40" w:before="0"/>
            </w:pPr>
            <w:r>
              <w:rPr>
                <w:rFonts w:ascii="Garamond" w:cs="Garamond" w:eastAsia="Garamond" w:hAnsi="Garamond"/>
                <w:color w:val="2C2C2C"/>
                <w:sz w:val="20"/>
                <w:szCs w:val="20"/>
              </w:rPr>
              <w:t xml:space="preserve">  NavT(ωα, ωβ) := P_T[ (ωα − ωβ) ⊗ Rαβ ]</w:t>
            </w:r>
          </w:p>
          <w:p>
            <w:pPr>
              <w:spacing w:after="40" w:before="0"/>
            </w:pPr>
            <w:r>
              <w:rPr>
                <w:rFonts w:ascii="Garamond" w:cs="Garamond" w:eastAsia="Garamond" w:hAnsi="Garamond"/>
                <w:color w:val="2C2C2C"/>
                <w:sz w:val="20"/>
                <w:szCs w:val="20"/>
              </w:rPr>
              <w:t xml:space="preserve"/>
            </w:r>
          </w:p>
          <w:p>
            <w:pPr>
              <w:spacing w:after="40" w:before="0"/>
            </w:pPr>
            <w:r>
              <w:rPr>
                <w:rFonts w:ascii="Garamond" w:cs="Garamond" w:eastAsia="Garamond" w:hAnsi="Garamond"/>
                <w:color w:val="2C2C2C"/>
                <w:sz w:val="20"/>
                <w:szCs w:val="20"/>
              </w:rPr>
              <w:t xml:space="preserve">where P_T is parallel transport along the residue connection Rαβ, and ⊗ denotes the residue-weighted phase difference.</w:t>
            </w:r>
          </w:p>
          <w:p>
            <w:pPr>
              <w:spacing w:after="40" w:before="0"/>
            </w:pPr>
            <w:r>
              <w:rPr>
                <w:rFonts w:ascii="Garamond" w:cs="Garamond" w:eastAsia="Garamond" w:hAnsi="Garamond"/>
                <w:color w:val="2C2C2C"/>
                <w:sz w:val="20"/>
                <w:szCs w:val="20"/>
              </w:rPr>
              <w:t xml:space="preserve">This makes deviation propagation depend on the shared residue history between α and β, not just their instantaneous phase difference.</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1A1A" w:sz="8"/>
              <w:left w:val="single" w:color="8B1A1A" w:sz="8"/>
              <w:bottom w:val="single" w:color="CCCCCC" w:sz="1"/>
              <w:right w:val="single" w:color="CCCCCC" w:sz="1"/>
            </w:tcBorders>
            <w:shd w:fill="FFF5F5" w:val="clear"/>
            <w:tcMar>
              <w:top w:type="dxa" w:w="100"/>
              <w:left w:type="dxa" w:w="200"/>
              <w:bottom w:type="dxa" w:w="100"/>
              <w:right w:type="dxa" w:w="200"/>
            </w:tcMar>
          </w:tcPr>
          <w:p>
            <w:pPr>
              <w:spacing w:after="60" w:before="0"/>
            </w:pPr>
            <w:r>
              <w:rPr>
                <w:rFonts w:ascii="Arial" w:cs="Arial" w:eastAsia="Arial" w:hAnsi="Arial"/>
                <w:b/>
                <w:bCs/>
                <w:color w:val="8B1A1A"/>
                <w:sz w:val="20"/>
                <w:szCs w:val="20"/>
              </w:rPr>
              <w:t xml:space="preserve">Gap 3 — CSI Formation Rule (required by M10; depends on Gap 1)</w:t>
            </w:r>
          </w:p>
          <w:p>
            <w:pPr>
              <w:spacing w:after="40" w:before="0"/>
            </w:pPr>
            <w:r>
              <w:rPr>
                <w:rFonts w:ascii="Garamond" w:cs="Garamond" w:eastAsia="Garamond" w:hAnsi="Garamond"/>
                <w:color w:val="2C2C2C"/>
                <w:sz w:val="20"/>
                <w:szCs w:val="20"/>
              </w:rPr>
              <w:t xml:space="preserve">CSI(α) membership must be formally defined. Without it, the sum over CSI(α) has no closed domain.</w:t>
            </w:r>
          </w:p>
          <w:p>
            <w:pPr>
              <w:spacing w:after="40" w:before="0"/>
            </w:pPr>
            <w:r>
              <w:rPr>
                <w:rFonts w:ascii="Garamond" w:cs="Garamond" w:eastAsia="Garamond" w:hAnsi="Garamond"/>
                <w:color w:val="2C2C2C"/>
                <w:sz w:val="20"/>
                <w:szCs w:val="20"/>
              </w:rPr>
              <w:t xml:space="preserve"/>
            </w:r>
          </w:p>
          <w:p>
            <w:pPr>
              <w:spacing w:after="40" w:before="0"/>
            </w:pPr>
            <w:r>
              <w:rPr>
                <w:rFonts w:ascii="Garamond" w:cs="Garamond" w:eastAsia="Garamond" w:hAnsi="Garamond"/>
                <w:color w:val="2C2C2C"/>
                <w:sz w:val="20"/>
                <w:szCs w:val="20"/>
              </w:rPr>
              <w:t xml:space="preserve">Proposed M10 (Coherent Source Interface Formation Law):</w:t>
            </w:r>
          </w:p>
          <w:p>
            <w:pPr>
              <w:spacing w:after="40" w:before="0"/>
            </w:pPr>
            <w:r>
              <w:rPr>
                <w:rFonts w:ascii="Garamond" w:cs="Garamond" w:eastAsia="Garamond" w:hAnsi="Garamond"/>
                <w:color w:val="2C2C2C"/>
                <w:sz w:val="20"/>
                <w:szCs w:val="20"/>
              </w:rPr>
              <w:t xml:space="preserve">  β ∈ CSI(α)  ⟺  Aα ∩ Aβ ≠ ∅  under current R</w:t>
            </w:r>
          </w:p>
          <w:p>
            <w:pPr>
              <w:spacing w:after="40" w:before="0"/>
            </w:pPr>
            <w:r>
              <w:rPr>
                <w:rFonts w:ascii="Garamond" w:cs="Garamond" w:eastAsia="Garamond" w:hAnsi="Garamond"/>
                <w:color w:val="2C2C2C"/>
                <w:sz w:val="20"/>
                <w:szCs w:val="20"/>
              </w:rPr>
              <w:t xml:space="preserve"/>
            </w:r>
          </w:p>
          <w:p>
            <w:pPr>
              <w:spacing w:after="40" w:before="0"/>
            </w:pPr>
            <w:r>
              <w:rPr>
                <w:rFonts w:ascii="Garamond" w:cs="Garamond" w:eastAsia="Garamond" w:hAnsi="Garamond"/>
                <w:color w:val="2C2C2C"/>
                <w:sz w:val="20"/>
                <w:szCs w:val="20"/>
              </w:rPr>
              <w:t xml:space="preserve">Coupling is constituted by mutual admissibility overlap. CSI is dynamically constituted: it gains and loses members as R evolves and admissibility windows shift — making CSI a derived quantity, not a primitive.</w:t>
            </w:r>
          </w:p>
          <w:p>
            <w:pPr>
              <w:spacing w:after="40" w:before="0"/>
            </w:pPr>
            <w:r>
              <w:rPr>
                <w:rFonts w:ascii="Garamond" w:cs="Garamond" w:eastAsia="Garamond" w:hAnsi="Garamond"/>
                <w:color w:val="2C2C2C"/>
                <w:sz w:val="20"/>
                <w:szCs w:val="20"/>
              </w:rPr>
              <w:t xml:space="preserve"/>
            </w:r>
          </w:p>
          <w:p>
            <w:pPr>
              <w:spacing w:after="40" w:before="0"/>
            </w:pPr>
            <w:r>
              <w:rPr>
                <w:rFonts w:ascii="Garamond" w:cs="Garamond" w:eastAsia="Garamond" w:hAnsi="Garamond"/>
                <w:color w:val="2C2C2C"/>
                <w:sz w:val="20"/>
                <w:szCs w:val="20"/>
              </w:rPr>
              <w:t xml:space="preserve">Dependency: this definition presupposes Aα is defined (Gap 1). The closure order is: Gap 1 → Gap 3 → closed expression.</w:t>
            </w:r>
          </w:p>
        </w:tc>
      </w:tr>
    </w:tbl>
    <w:p>
      <w:pPr>
        <w:spacing w:after="0" w:before="80"/>
      </w:pPr>
      <w:r>
        <w:t xml:space="preserve"/>
      </w:r>
    </w:p>
    <w:p>
      <w:pPr>
        <w:pStyle w:val="Heading1"/>
        <w:pBdr>
          <w:bottom w:val="single" w:color="1F4E79" w:sz="4"/>
        </w:pBdr>
        <w:spacing w:after="120" w:before="360"/>
      </w:pPr>
      <w:r>
        <w:rPr>
          <w:rFonts w:ascii="Arial" w:cs="Arial" w:eastAsia="Arial" w:hAnsi="Arial"/>
          <w:b/>
          <w:bCs/>
          <w:color w:val="1F4E79"/>
          <w:sz w:val="30"/>
          <w:szCs w:val="30"/>
        </w:rPr>
        <w:t xml:space="preserve">V.  Summary Assessment</w:t>
      </w:r>
    </w:p>
    <w:p>
      <w:pPr>
        <w:spacing w:after="80" w:before="80" w:line="280"/>
        <w:jc w:val="both"/>
      </w:pPr>
      <w:r>
        <w:rPr>
          <w:rFonts w:ascii="Garamond" w:cs="Garamond" w:eastAsia="Garamond" w:hAnsi="Garamond"/>
          <w:b w:val="false"/>
          <w:bCs w:val="false"/>
          <w:i w:val="false"/>
          <w:iCs w:val="false"/>
          <w:color w:val="2C2C2C"/>
          <w:sz w:val="22"/>
          <w:szCs w:val="22"/>
        </w:rPr>
        <w:t xml:space="preserve">The following table summarizes match ratings across all fourteen M-Laws and cross-references the known gaps.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3200"/>
        <w:gridCol w:w="1600"/>
        <w:gridCol w:w="3840"/>
      </w:tblGrid>
      <w:tr>
        <w:trPr>
          <w:tblHeader/>
        </w:trPr>
        <w:tc>
          <w:tcPr>
            <w:tcW w:type="dxa" w:w="7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80"/>
            </w:tcMar>
          </w:tcPr>
          <w:p>
            <w:r>
              <w:rPr>
                <w:rFonts w:ascii="Arial" w:cs="Arial" w:eastAsia="Arial" w:hAnsi="Arial"/>
                <w:b/>
                <w:bCs/>
                <w:color w:val="FFFFFF"/>
                <w:sz w:val="20"/>
                <w:szCs w:val="20"/>
              </w:rPr>
              <w:t xml:space="preserve">ID</w:t>
            </w:r>
          </w:p>
        </w:tc>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80"/>
            </w:tcMar>
          </w:tcPr>
          <w:p>
            <w:r>
              <w:rPr>
                <w:rFonts w:ascii="Arial" w:cs="Arial" w:eastAsia="Arial" w:hAnsi="Arial"/>
                <w:b/>
                <w:bCs/>
                <w:color w:val="FFFFFF"/>
                <w:sz w:val="20"/>
                <w:szCs w:val="20"/>
              </w:rPr>
              <w:t xml:space="preserve">Name</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80"/>
            </w:tcMar>
          </w:tcPr>
          <w:p>
            <w:r>
              <w:rPr>
                <w:rFonts w:ascii="Arial" w:cs="Arial" w:eastAsia="Arial" w:hAnsi="Arial"/>
                <w:b/>
                <w:bCs/>
                <w:color w:val="FFFFFF"/>
                <w:sz w:val="20"/>
                <w:szCs w:val="20"/>
              </w:rPr>
              <w:t xml:space="preserve">Match</w:t>
            </w:r>
          </w:p>
        </w:tc>
        <w:tc>
          <w:tcPr>
            <w:tcW w:type="dxa" w:w="38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80"/>
            </w:tcMar>
          </w:tcPr>
          <w:p>
            <w:r>
              <w:rPr>
                <w:rFonts w:ascii="Arial" w:cs="Arial" w:eastAsia="Arial" w:hAnsi="Arial"/>
                <w:b/>
                <w:bCs/>
                <w:color w:val="FFFFFF"/>
                <w:sz w:val="20"/>
                <w:szCs w:val="20"/>
              </w:rPr>
              <w:t xml:space="preserve">Notes</w:t>
            </w:r>
          </w:p>
        </w:tc>
      </w:tr>
      <w:tr>
        <w:tc>
          <w:tcPr>
            <w:tcW w:type="dxa" w:w="72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60"/>
            </w:tcMar>
          </w:tcPr>
          <w:p>
            <w:r>
              <w:rPr>
                <w:rFonts w:ascii="Courier New" w:cs="Courier New" w:eastAsia="Courier New" w:hAnsi="Courier New"/>
                <w:b/>
                <w:bCs/>
                <w:color w:val="3D1A78"/>
                <w:sz w:val="18"/>
                <w:szCs w:val="18"/>
              </w:rPr>
              <w:t xml:space="preserve">M0</w:t>
            </w:r>
          </w:p>
        </w:tc>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60"/>
            </w:tcMar>
          </w:tcPr>
          <w:p>
            <w:r>
              <w:rPr>
                <w:rFonts w:ascii="Garamond" w:cs="Garamond" w:eastAsia="Garamond" w:hAnsi="Garamond"/>
                <w:color w:val="2C2C2C"/>
                <w:sz w:val="20"/>
                <w:szCs w:val="20"/>
              </w:rPr>
              <w:t xml:space="preserve">No-Thing Boundary</w:t>
            </w:r>
          </w:p>
        </w:tc>
        <w:tc>
          <w:tcPr>
            <w:tcW w:type="dxa" w:w="160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60"/>
            </w:tcMar>
          </w:tcPr>
          <w:p>
            <w:r>
              <w:rPr>
                <w:rFonts w:ascii="Arial" w:cs="Arial" w:eastAsia="Arial" w:hAnsi="Arial"/>
                <w:b/>
                <w:bCs/>
                <w:color w:val="1F4E79"/>
                <w:sz w:val="18"/>
                <w:szCs w:val="18"/>
              </w:rPr>
              <w:t xml:space="preserve">Strong</w:t>
            </w:r>
          </w:p>
        </w:tc>
        <w:tc>
          <w:tcPr>
            <w:tcW w:type="dxa" w:w="3840"/>
            <w:tcBorders>
              <w:top w:val="single" w:color="CCCCCC" w:sz="1"/>
              <w:left w:val="single" w:color="CCCCCC" w:sz="1"/>
              <w:bottom w:val="single" w:color="CCCCCC" w:sz="1"/>
              <w:right w:val="single" w:color="CCCCCC" w:sz="1"/>
            </w:tcBorders>
            <w:tcMar>
              <w:top w:type="dxa" w:w="60"/>
              <w:left w:type="dxa" w:w="120"/>
              <w:bottom w:type="dxa" w:w="60"/>
              <w:right w:type="dxa" w:w="60"/>
            </w:tcMar>
          </w:tcPr>
          <w:p>
            <w:r>
              <w:rPr>
                <w:rFonts w:ascii="Garamond" w:cs="Garamond" w:eastAsia="Garamond" w:hAnsi="Garamond"/>
                <w:color w:val="4A4A4A"/>
                <w:sz w:val="18"/>
                <w:szCs w:val="18"/>
              </w:rPr>
              <w:t xml:space="preserve">Fixed-point reading of empty CSI</w:t>
            </w:r>
          </w:p>
        </w:tc>
      </w:tr>
      <w:tr>
        <w:tc>
          <w:tcPr>
            <w:tcW w:type="dxa" w:w="72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60"/>
            </w:tcMar>
          </w:tcPr>
          <w:p>
            <w:r>
              <w:rPr>
                <w:rFonts w:ascii="Courier New" w:cs="Courier New" w:eastAsia="Courier New" w:hAnsi="Courier New"/>
                <w:b/>
                <w:bCs/>
                <w:color w:val="3D1A78"/>
                <w:sz w:val="18"/>
                <w:szCs w:val="18"/>
              </w:rPr>
              <w:t xml:space="preserve">M1</w:t>
            </w:r>
          </w:p>
        </w:tc>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60"/>
            </w:tcMar>
          </w:tcPr>
          <w:p>
            <w:r>
              <w:rPr>
                <w:rFonts w:ascii="Garamond" w:cs="Garamond" w:eastAsia="Garamond" w:hAnsi="Garamond"/>
                <w:color w:val="2C2C2C"/>
                <w:sz w:val="20"/>
                <w:szCs w:val="20"/>
              </w:rPr>
              <w:t xml:space="preserve">Nonzero Continuation</w:t>
            </w:r>
          </w:p>
        </w:tc>
        <w:tc>
          <w:tcPr>
            <w:tcW w:type="dxa" w:w="160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60"/>
            </w:tcMar>
          </w:tcPr>
          <w:p>
            <w:r>
              <w:rPr>
                <w:rFonts w:ascii="Arial" w:cs="Arial" w:eastAsia="Arial" w:hAnsi="Arial"/>
                <w:b/>
                <w:bCs/>
                <w:color w:val="1F4E79"/>
                <w:sz w:val="18"/>
                <w:szCs w:val="18"/>
              </w:rPr>
              <w:t xml:space="preserve">Strong</w:t>
            </w:r>
          </w:p>
        </w:tc>
        <w:tc>
          <w:tcPr>
            <w:tcW w:type="dxa" w:w="3840"/>
            <w:tcBorders>
              <w:top w:val="single" w:color="CCCCCC" w:sz="1"/>
              <w:left w:val="single" w:color="CCCCCC" w:sz="1"/>
              <w:bottom w:val="single" w:color="CCCCCC" w:sz="1"/>
              <w:right w:val="single" w:color="CCCCCC" w:sz="1"/>
            </w:tcBorders>
            <w:tcMar>
              <w:top w:type="dxa" w:w="60"/>
              <w:left w:type="dxa" w:w="120"/>
              <w:bottom w:type="dxa" w:w="60"/>
              <w:right w:type="dxa" w:w="60"/>
            </w:tcMar>
          </w:tcPr>
          <w:p>
            <w:r>
              <w:rPr>
                <w:rFonts w:ascii="Garamond" w:cs="Garamond" w:eastAsia="Garamond" w:hAnsi="Garamond"/>
                <w:color w:val="4A4A4A"/>
                <w:sz w:val="18"/>
                <w:szCs w:val="18"/>
              </w:rPr>
              <w:t xml:space="preserve">Residue inscription mechanism</w:t>
            </w:r>
          </w:p>
        </w:tc>
      </w:tr>
      <w:tr>
        <w:tc>
          <w:tcPr>
            <w:tcW w:type="dxa" w:w="72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60"/>
            </w:tcMar>
          </w:tcPr>
          <w:p>
            <w:r>
              <w:rPr>
                <w:rFonts w:ascii="Courier New" w:cs="Courier New" w:eastAsia="Courier New" w:hAnsi="Courier New"/>
                <w:b/>
                <w:bCs/>
                <w:color w:val="3D1A78"/>
                <w:sz w:val="18"/>
                <w:szCs w:val="18"/>
              </w:rPr>
              <w:t xml:space="preserve">M2</w:t>
            </w:r>
          </w:p>
        </w:tc>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60"/>
            </w:tcMar>
          </w:tcPr>
          <w:p>
            <w:r>
              <w:rPr>
                <w:rFonts w:ascii="Garamond" w:cs="Garamond" w:eastAsia="Garamond" w:hAnsi="Garamond"/>
                <w:color w:val="2C2C2C"/>
                <w:sz w:val="20"/>
                <w:szCs w:val="20"/>
              </w:rPr>
              <w:t xml:space="preserve">Activation Law</w:t>
            </w:r>
          </w:p>
        </w:tc>
        <w:tc>
          <w:tcPr>
            <w:tcW w:type="dxa" w:w="160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60"/>
            </w:tcMar>
          </w:tcPr>
          <w:p>
            <w:r>
              <w:rPr>
                <w:rFonts w:ascii="Arial" w:cs="Arial" w:eastAsia="Arial" w:hAnsi="Arial"/>
                <w:b/>
                <w:bCs/>
                <w:color w:val="1F4E79"/>
                <w:sz w:val="18"/>
                <w:szCs w:val="18"/>
              </w:rPr>
              <w:t xml:space="preserve">Strong</w:t>
            </w:r>
          </w:p>
        </w:tc>
        <w:tc>
          <w:tcPr>
            <w:tcW w:type="dxa" w:w="3840"/>
            <w:tcBorders>
              <w:top w:val="single" w:color="CCCCCC" w:sz="1"/>
              <w:left w:val="single" w:color="CCCCCC" w:sz="1"/>
              <w:bottom w:val="single" w:color="CCCCCC" w:sz="1"/>
              <w:right w:val="single" w:color="CCCCCC" w:sz="1"/>
            </w:tcBorders>
            <w:tcMar>
              <w:top w:type="dxa" w:w="60"/>
              <w:left w:type="dxa" w:w="120"/>
              <w:bottom w:type="dxa" w:w="60"/>
              <w:right w:type="dxa" w:w="60"/>
            </w:tcMar>
          </w:tcPr>
          <w:p>
            <w:r>
              <w:rPr>
                <w:rFonts w:ascii="Garamond" w:cs="Garamond" w:eastAsia="Garamond" w:hAnsi="Garamond"/>
                <w:color w:val="4A4A4A"/>
                <w:sz w:val="18"/>
                <w:szCs w:val="18"/>
              </w:rPr>
              <w:t xml:space="preserve">Two-condition gate structure</w:t>
            </w:r>
          </w:p>
        </w:tc>
      </w:tr>
      <w:tr>
        <w:tc>
          <w:tcPr>
            <w:tcW w:type="dxa" w:w="72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60"/>
            </w:tcMar>
          </w:tcPr>
          <w:p>
            <w:r>
              <w:rPr>
                <w:rFonts w:ascii="Courier New" w:cs="Courier New" w:eastAsia="Courier New" w:hAnsi="Courier New"/>
                <w:b/>
                <w:bCs/>
                <w:color w:val="3D1A78"/>
                <w:sz w:val="18"/>
                <w:szCs w:val="18"/>
              </w:rPr>
              <w:t xml:space="preserve">M3</w:t>
            </w:r>
          </w:p>
        </w:tc>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60"/>
            </w:tcMar>
          </w:tcPr>
          <w:p>
            <w:r>
              <w:rPr>
                <w:rFonts w:ascii="Garamond" w:cs="Garamond" w:eastAsia="Garamond" w:hAnsi="Garamond"/>
                <w:color w:val="2C2C2C"/>
                <w:sz w:val="20"/>
                <w:szCs w:val="20"/>
              </w:rPr>
              <w:t xml:space="preserve">Distinguishable Mismatch</w:t>
            </w:r>
          </w:p>
        </w:tc>
        <w:tc>
          <w:tcPr>
            <w:tcW w:type="dxa" w:w="160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60"/>
            </w:tcMar>
          </w:tcPr>
          <w:p>
            <w:r>
              <w:rPr>
                <w:rFonts w:ascii="Arial" w:cs="Arial" w:eastAsia="Arial" w:hAnsi="Arial"/>
                <w:b/>
                <w:bCs/>
                <w:color w:val="1F4E79"/>
                <w:sz w:val="18"/>
                <w:szCs w:val="18"/>
              </w:rPr>
              <w:t xml:space="preserve">Strong</w:t>
            </w:r>
          </w:p>
        </w:tc>
        <w:tc>
          <w:tcPr>
            <w:tcW w:type="dxa" w:w="3840"/>
            <w:tcBorders>
              <w:top w:val="single" w:color="CCCCCC" w:sz="1"/>
              <w:left w:val="single" w:color="CCCCCC" w:sz="1"/>
              <w:bottom w:val="single" w:color="CCCCCC" w:sz="1"/>
              <w:right w:val="single" w:color="CCCCCC" w:sz="1"/>
            </w:tcBorders>
            <w:tcMar>
              <w:top w:type="dxa" w:w="60"/>
              <w:left w:type="dxa" w:w="120"/>
              <w:bottom w:type="dxa" w:w="60"/>
              <w:right w:type="dxa" w:w="60"/>
            </w:tcMar>
          </w:tcPr>
          <w:p>
            <w:r>
              <w:rPr>
                <w:rFonts w:ascii="Garamond" w:cs="Garamond" w:eastAsia="Garamond" w:hAnsi="Garamond"/>
                <w:color w:val="4A4A4A"/>
                <w:sz w:val="18"/>
                <w:szCs w:val="18"/>
              </w:rPr>
              <w:t xml:space="preserve">Phase distinguishability via NavT</w:t>
            </w:r>
          </w:p>
        </w:tc>
      </w:tr>
      <w:tr>
        <w:tc>
          <w:tcPr>
            <w:tcW w:type="dxa" w:w="72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60"/>
            </w:tcMar>
          </w:tcPr>
          <w:p>
            <w:r>
              <w:rPr>
                <w:rFonts w:ascii="Courier New" w:cs="Courier New" w:eastAsia="Courier New" w:hAnsi="Courier New"/>
                <w:b/>
                <w:bCs/>
                <w:color w:val="3D1A78"/>
                <w:sz w:val="18"/>
                <w:szCs w:val="18"/>
              </w:rPr>
              <w:t xml:space="preserve">M4</w:t>
            </w:r>
          </w:p>
        </w:tc>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60"/>
            </w:tcMar>
          </w:tcPr>
          <w:p>
            <w:r>
              <w:rPr>
                <w:rFonts w:ascii="Garamond" w:cs="Garamond" w:eastAsia="Garamond" w:hAnsi="Garamond"/>
                <w:color w:val="2C2C2C"/>
                <w:sz w:val="20"/>
                <w:szCs w:val="20"/>
              </w:rPr>
              <w:t xml:space="preserve">Selection Law</w:t>
            </w:r>
          </w:p>
        </w:tc>
        <w:tc>
          <w:tcPr>
            <w:tcW w:type="dxa" w:w="160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60"/>
            </w:tcMar>
          </w:tcPr>
          <w:p>
            <w:r>
              <w:rPr>
                <w:rFonts w:ascii="Arial" w:cs="Arial" w:eastAsia="Arial" w:hAnsi="Arial"/>
                <w:b/>
                <w:bCs/>
                <w:color w:val="1F4E79"/>
                <w:sz w:val="18"/>
                <w:szCs w:val="18"/>
              </w:rPr>
              <w:t xml:space="preserve">Strong</w:t>
            </w:r>
          </w:p>
        </w:tc>
        <w:tc>
          <w:tcPr>
            <w:tcW w:type="dxa" w:w="3840"/>
            <w:tcBorders>
              <w:top w:val="single" w:color="CCCCCC" w:sz="1"/>
              <w:left w:val="single" w:color="CCCCCC" w:sz="1"/>
              <w:bottom w:val="single" w:color="CCCCCC" w:sz="1"/>
              <w:right w:val="single" w:color="CCCCCC" w:sz="1"/>
            </w:tcBorders>
            <w:tcMar>
              <w:top w:type="dxa" w:w="60"/>
              <w:left w:type="dxa" w:w="120"/>
              <w:bottom w:type="dxa" w:w="60"/>
              <w:right w:type="dxa" w:w="60"/>
            </w:tcMar>
          </w:tcPr>
          <w:p>
            <w:r>
              <w:rPr>
                <w:rFonts w:ascii="Garamond" w:cs="Garamond" w:eastAsia="Garamond" w:hAnsi="Garamond"/>
                <w:color w:val="4A4A4A"/>
                <w:sz w:val="18"/>
                <w:szCs w:val="18"/>
              </w:rPr>
              <w:t xml:space="preserve">Projection, not enumeration</w:t>
            </w:r>
          </w:p>
        </w:tc>
      </w:tr>
      <w:tr>
        <w:tc>
          <w:tcPr>
            <w:tcW w:type="dxa" w:w="72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60"/>
            </w:tcMar>
          </w:tcPr>
          <w:p>
            <w:r>
              <w:rPr>
                <w:rFonts w:ascii="Courier New" w:cs="Courier New" w:eastAsia="Courier New" w:hAnsi="Courier New"/>
                <w:b/>
                <w:bCs/>
                <w:color w:val="3D1A78"/>
                <w:sz w:val="18"/>
                <w:szCs w:val="18"/>
              </w:rPr>
              <w:t xml:space="preserve">M5</w:t>
            </w:r>
          </w:p>
        </w:tc>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60"/>
            </w:tcMar>
          </w:tcPr>
          <w:p>
            <w:r>
              <w:rPr>
                <w:rFonts w:ascii="Garamond" w:cs="Garamond" w:eastAsia="Garamond" w:hAnsi="Garamond"/>
                <w:color w:val="2C2C2C"/>
                <w:sz w:val="20"/>
                <w:szCs w:val="20"/>
              </w:rPr>
              <w:t xml:space="preserve">Reference / Orientation Law</w:t>
            </w:r>
          </w:p>
        </w:tc>
        <w:tc>
          <w:tcPr>
            <w:tcW w:type="dxa" w:w="160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60"/>
            </w:tcMar>
          </w:tcPr>
          <w:p>
            <w:r>
              <w:rPr>
                <w:rFonts w:ascii="Arial" w:cs="Arial" w:eastAsia="Arial" w:hAnsi="Arial"/>
                <w:b/>
                <w:bCs/>
                <w:color w:val="8B6914"/>
                <w:sz w:val="18"/>
                <w:szCs w:val="18"/>
              </w:rPr>
              <w:t xml:space="preserve">Partial</w:t>
            </w:r>
          </w:p>
        </w:tc>
        <w:tc>
          <w:tcPr>
            <w:tcW w:type="dxa" w:w="3840"/>
            <w:tcBorders>
              <w:top w:val="single" w:color="CCCCCC" w:sz="1"/>
              <w:left w:val="single" w:color="CCCCCC" w:sz="1"/>
              <w:bottom w:val="single" w:color="CCCCCC" w:sz="1"/>
              <w:right w:val="single" w:color="CCCCCC" w:sz="1"/>
            </w:tcBorders>
            <w:tcMar>
              <w:top w:type="dxa" w:w="60"/>
              <w:left w:type="dxa" w:w="120"/>
              <w:bottom w:type="dxa" w:w="60"/>
              <w:right w:type="dxa" w:w="60"/>
            </w:tcMar>
          </w:tcPr>
          <w:p>
            <w:r>
              <w:rPr>
                <w:rFonts w:ascii="Garamond" w:cs="Garamond" w:eastAsia="Garamond" w:hAnsi="Garamond"/>
                <w:color w:val="4A4A4A"/>
                <w:sz w:val="18"/>
                <w:szCs w:val="18"/>
              </w:rPr>
              <w:t xml:space="preserve">Gap 1: Aα orientation undefined</w:t>
            </w:r>
          </w:p>
        </w:tc>
      </w:tr>
      <w:tr>
        <w:tc>
          <w:tcPr>
            <w:tcW w:type="dxa" w:w="72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60"/>
            </w:tcMar>
          </w:tcPr>
          <w:p>
            <w:r>
              <w:rPr>
                <w:rFonts w:ascii="Courier New" w:cs="Courier New" w:eastAsia="Courier New" w:hAnsi="Courier New"/>
                <w:b/>
                <w:bCs/>
                <w:color w:val="3D1A78"/>
                <w:sz w:val="18"/>
                <w:szCs w:val="18"/>
              </w:rPr>
              <w:t xml:space="preserve">M6</w:t>
            </w:r>
          </w:p>
        </w:tc>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60"/>
            </w:tcMar>
          </w:tcPr>
          <w:p>
            <w:r>
              <w:rPr>
                <w:rFonts w:ascii="Garamond" w:cs="Garamond" w:eastAsia="Garamond" w:hAnsi="Garamond"/>
                <w:color w:val="2C2C2C"/>
                <w:sz w:val="20"/>
                <w:szCs w:val="20"/>
              </w:rPr>
              <w:t xml:space="preserve">Residue Law</w:t>
            </w:r>
          </w:p>
        </w:tc>
        <w:tc>
          <w:tcPr>
            <w:tcW w:type="dxa" w:w="160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60"/>
            </w:tcMar>
          </w:tcPr>
          <w:p>
            <w:r>
              <w:rPr>
                <w:rFonts w:ascii="Arial" w:cs="Arial" w:eastAsia="Arial" w:hAnsi="Arial"/>
                <w:b/>
                <w:bCs/>
                <w:color w:val="1F4E79"/>
                <w:sz w:val="18"/>
                <w:szCs w:val="18"/>
              </w:rPr>
              <w:t xml:space="preserve">Strong</w:t>
            </w:r>
          </w:p>
        </w:tc>
        <w:tc>
          <w:tcPr>
            <w:tcW w:type="dxa" w:w="3840"/>
            <w:tcBorders>
              <w:top w:val="single" w:color="CCCCCC" w:sz="1"/>
              <w:left w:val="single" w:color="CCCCCC" w:sz="1"/>
              <w:bottom w:val="single" w:color="CCCCCC" w:sz="1"/>
              <w:right w:val="single" w:color="CCCCCC" w:sz="1"/>
            </w:tcBorders>
            <w:tcMar>
              <w:top w:type="dxa" w:w="60"/>
              <w:left w:type="dxa" w:w="120"/>
              <w:bottom w:type="dxa" w:w="60"/>
              <w:right w:type="dxa" w:w="60"/>
            </w:tcMar>
          </w:tcPr>
          <w:p>
            <w:r>
              <w:rPr>
                <w:rFonts w:ascii="Garamond" w:cs="Garamond" w:eastAsia="Garamond" w:hAnsi="Garamond"/>
                <w:color w:val="4A4A4A"/>
                <w:sz w:val="18"/>
                <w:szCs w:val="18"/>
              </w:rPr>
              <w:t xml:space="preserve">Full feedback loop added</w:t>
            </w:r>
          </w:p>
        </w:tc>
      </w:tr>
      <w:tr>
        <w:tc>
          <w:tcPr>
            <w:tcW w:type="dxa" w:w="72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60"/>
            </w:tcMar>
          </w:tcPr>
          <w:p>
            <w:r>
              <w:rPr>
                <w:rFonts w:ascii="Courier New" w:cs="Courier New" w:eastAsia="Courier New" w:hAnsi="Courier New"/>
                <w:b/>
                <w:bCs/>
                <w:color w:val="3D1A78"/>
                <w:sz w:val="18"/>
                <w:szCs w:val="18"/>
              </w:rPr>
              <w:t xml:space="preserve">M7</w:t>
            </w:r>
          </w:p>
        </w:tc>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60"/>
            </w:tcMar>
          </w:tcPr>
          <w:p>
            <w:r>
              <w:rPr>
                <w:rFonts w:ascii="Garamond" w:cs="Garamond" w:eastAsia="Garamond" w:hAnsi="Garamond"/>
                <w:color w:val="2C2C2C"/>
                <w:sz w:val="20"/>
                <w:szCs w:val="20"/>
              </w:rPr>
              <w:t xml:space="preserve">Admissibility Window Law</w:t>
            </w:r>
          </w:p>
        </w:tc>
        <w:tc>
          <w:tcPr>
            <w:tcW w:type="dxa" w:w="160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60"/>
            </w:tcMar>
          </w:tcPr>
          <w:p>
            <w:r>
              <w:rPr>
                <w:rFonts w:ascii="Arial" w:cs="Arial" w:eastAsia="Arial" w:hAnsi="Arial"/>
                <w:b/>
                <w:bCs/>
                <w:color w:val="1A5C2E"/>
                <w:sz w:val="18"/>
                <w:szCs w:val="18"/>
              </w:rPr>
              <w:t xml:space="preserve">Perfect</w:t>
            </w:r>
          </w:p>
        </w:tc>
        <w:tc>
          <w:tcPr>
            <w:tcW w:type="dxa" w:w="3840"/>
            <w:tcBorders>
              <w:top w:val="single" w:color="CCCCCC" w:sz="1"/>
              <w:left w:val="single" w:color="CCCCCC" w:sz="1"/>
              <w:bottom w:val="single" w:color="CCCCCC" w:sz="1"/>
              <w:right w:val="single" w:color="CCCCCC" w:sz="1"/>
            </w:tcBorders>
            <w:tcMar>
              <w:top w:type="dxa" w:w="60"/>
              <w:left w:type="dxa" w:w="120"/>
              <w:bottom w:type="dxa" w:w="60"/>
              <w:right w:type="dxa" w:w="60"/>
            </w:tcMar>
          </w:tcPr>
          <w:p>
            <w:r>
              <w:rPr>
                <w:rFonts w:ascii="Garamond" w:cs="Garamond" w:eastAsia="Garamond" w:hAnsi="Garamond"/>
                <w:color w:val="4A4A4A"/>
                <w:sz w:val="18"/>
                <w:szCs w:val="18"/>
              </w:rPr>
              <w:t xml:space="preserve">Direct reading of ΠAα position</w:t>
            </w:r>
          </w:p>
        </w:tc>
      </w:tr>
      <w:tr>
        <w:tc>
          <w:tcPr>
            <w:tcW w:type="dxa" w:w="72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60"/>
            </w:tcMar>
          </w:tcPr>
          <w:p>
            <w:r>
              <w:rPr>
                <w:rFonts w:ascii="Courier New" w:cs="Courier New" w:eastAsia="Courier New" w:hAnsi="Courier New"/>
                <w:b/>
                <w:bCs/>
                <w:color w:val="3D1A78"/>
                <w:sz w:val="18"/>
                <w:szCs w:val="18"/>
              </w:rPr>
              <w:t xml:space="preserve">M8</w:t>
            </w:r>
          </w:p>
        </w:tc>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60"/>
            </w:tcMar>
          </w:tcPr>
          <w:p>
            <w:r>
              <w:rPr>
                <w:rFonts w:ascii="Garamond" w:cs="Garamond" w:eastAsia="Garamond" w:hAnsi="Garamond"/>
                <w:color w:val="2C2C2C"/>
                <w:sz w:val="20"/>
                <w:szCs w:val="20"/>
              </w:rPr>
              <w:t xml:space="preserve">Deviation Propagation Law</w:t>
            </w:r>
          </w:p>
        </w:tc>
        <w:tc>
          <w:tcPr>
            <w:tcW w:type="dxa" w:w="160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60"/>
            </w:tcMar>
          </w:tcPr>
          <w:p>
            <w:r>
              <w:rPr>
                <w:rFonts w:ascii="Arial" w:cs="Arial" w:eastAsia="Arial" w:hAnsi="Arial"/>
                <w:b/>
                <w:bCs/>
                <w:color w:val="7B3F00"/>
                <w:sz w:val="18"/>
                <w:szCs w:val="18"/>
              </w:rPr>
              <w:t xml:space="preserve">Moderate</w:t>
            </w:r>
          </w:p>
        </w:tc>
        <w:tc>
          <w:tcPr>
            <w:tcW w:type="dxa" w:w="3840"/>
            <w:tcBorders>
              <w:top w:val="single" w:color="CCCCCC" w:sz="1"/>
              <w:left w:val="single" w:color="CCCCCC" w:sz="1"/>
              <w:bottom w:val="single" w:color="CCCCCC" w:sz="1"/>
              <w:right w:val="single" w:color="CCCCCC" w:sz="1"/>
            </w:tcBorders>
            <w:tcMar>
              <w:top w:type="dxa" w:w="60"/>
              <w:left w:type="dxa" w:w="120"/>
              <w:bottom w:type="dxa" w:w="60"/>
              <w:right w:type="dxa" w:w="60"/>
            </w:tcMar>
          </w:tcPr>
          <w:p>
            <w:r>
              <w:rPr>
                <w:rFonts w:ascii="Garamond" w:cs="Garamond" w:eastAsia="Garamond" w:hAnsi="Garamond"/>
                <w:color w:val="4A4A4A"/>
                <w:sz w:val="18"/>
                <w:szCs w:val="18"/>
              </w:rPr>
              <w:t xml:space="preserve">Gap 2: NavT transport frame undefined</w:t>
            </w:r>
          </w:p>
        </w:tc>
      </w:tr>
      <w:tr>
        <w:tc>
          <w:tcPr>
            <w:tcW w:type="dxa" w:w="72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60"/>
            </w:tcMar>
          </w:tcPr>
          <w:p>
            <w:r>
              <w:rPr>
                <w:rFonts w:ascii="Courier New" w:cs="Courier New" w:eastAsia="Courier New" w:hAnsi="Courier New"/>
                <w:b/>
                <w:bCs/>
                <w:color w:val="3D1A78"/>
                <w:sz w:val="18"/>
                <w:szCs w:val="18"/>
              </w:rPr>
              <w:t xml:space="preserve">M9</w:t>
            </w:r>
          </w:p>
        </w:tc>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60"/>
            </w:tcMar>
          </w:tcPr>
          <w:p>
            <w:r>
              <w:rPr>
                <w:rFonts w:ascii="Garamond" w:cs="Garamond" w:eastAsia="Garamond" w:hAnsi="Garamond"/>
                <w:color w:val="2C2C2C"/>
                <w:sz w:val="20"/>
                <w:szCs w:val="20"/>
              </w:rPr>
              <w:t xml:space="preserve">Biased Transport Law</w:t>
            </w:r>
          </w:p>
        </w:tc>
        <w:tc>
          <w:tcPr>
            <w:tcW w:type="dxa" w:w="160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60"/>
            </w:tcMar>
          </w:tcPr>
          <w:p>
            <w:r>
              <w:rPr>
                <w:rFonts w:ascii="Arial" w:cs="Arial" w:eastAsia="Arial" w:hAnsi="Arial"/>
                <w:b/>
                <w:bCs/>
                <w:color w:val="1F4E79"/>
                <w:sz w:val="18"/>
                <w:szCs w:val="18"/>
              </w:rPr>
              <w:t xml:space="preserve">Strong</w:t>
            </w:r>
          </w:p>
        </w:tc>
        <w:tc>
          <w:tcPr>
            <w:tcW w:type="dxa" w:w="3840"/>
            <w:tcBorders>
              <w:top w:val="single" w:color="CCCCCC" w:sz="1"/>
              <w:left w:val="single" w:color="CCCCCC" w:sz="1"/>
              <w:bottom w:val="single" w:color="CCCCCC" w:sz="1"/>
              <w:right w:val="single" w:color="CCCCCC" w:sz="1"/>
            </w:tcBorders>
            <w:tcMar>
              <w:top w:type="dxa" w:w="60"/>
              <w:left w:type="dxa" w:w="120"/>
              <w:bottom w:type="dxa" w:w="60"/>
              <w:right w:type="dxa" w:w="60"/>
            </w:tcMar>
          </w:tcPr>
          <w:p>
            <w:r>
              <w:rPr>
                <w:rFonts w:ascii="Garamond" w:cs="Garamond" w:eastAsia="Garamond" w:hAnsi="Garamond"/>
                <w:color w:val="4A4A4A"/>
                <w:sz w:val="18"/>
                <w:szCs w:val="18"/>
              </w:rPr>
              <w:t xml:space="preserve">Pre-update position of ΠAα</w:t>
            </w:r>
          </w:p>
        </w:tc>
      </w:tr>
      <w:tr>
        <w:tc>
          <w:tcPr>
            <w:tcW w:type="dxa" w:w="72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60"/>
            </w:tcMar>
          </w:tcPr>
          <w:p>
            <w:r>
              <w:rPr>
                <w:rFonts w:ascii="Courier New" w:cs="Courier New" w:eastAsia="Courier New" w:hAnsi="Courier New"/>
                <w:b/>
                <w:bCs/>
                <w:color w:val="3D1A78"/>
                <w:sz w:val="18"/>
                <w:szCs w:val="18"/>
              </w:rPr>
              <w:t xml:space="preserve">M10</w:t>
            </w:r>
          </w:p>
        </w:tc>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60"/>
            </w:tcMar>
          </w:tcPr>
          <w:p>
            <w:r>
              <w:rPr>
                <w:rFonts w:ascii="Garamond" w:cs="Garamond" w:eastAsia="Garamond" w:hAnsi="Garamond"/>
                <w:color w:val="2C2C2C"/>
                <w:sz w:val="20"/>
                <w:szCs w:val="20"/>
              </w:rPr>
              <w:t xml:space="preserve">CSI Formation Law</w:t>
            </w:r>
          </w:p>
        </w:tc>
        <w:tc>
          <w:tcPr>
            <w:tcW w:type="dxa" w:w="160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60"/>
            </w:tcMar>
          </w:tcPr>
          <w:p>
            <w:r>
              <w:rPr>
                <w:rFonts w:ascii="Arial" w:cs="Arial" w:eastAsia="Arial" w:hAnsi="Arial"/>
                <w:b/>
                <w:bCs/>
                <w:color w:val="8B1A1A"/>
                <w:sz w:val="18"/>
                <w:szCs w:val="18"/>
              </w:rPr>
              <w:t xml:space="preserve">Demanded</w:t>
            </w:r>
          </w:p>
        </w:tc>
        <w:tc>
          <w:tcPr>
            <w:tcW w:type="dxa" w:w="3840"/>
            <w:tcBorders>
              <w:top w:val="single" w:color="CCCCCC" w:sz="1"/>
              <w:left w:val="single" w:color="CCCCCC" w:sz="1"/>
              <w:bottom w:val="single" w:color="CCCCCC" w:sz="1"/>
              <w:right w:val="single" w:color="CCCCCC" w:sz="1"/>
            </w:tcBorders>
            <w:tcMar>
              <w:top w:type="dxa" w:w="60"/>
              <w:left w:type="dxa" w:w="120"/>
              <w:bottom w:type="dxa" w:w="60"/>
              <w:right w:type="dxa" w:w="60"/>
            </w:tcMar>
          </w:tcPr>
          <w:p>
            <w:r>
              <w:rPr>
                <w:rFonts w:ascii="Garamond" w:cs="Garamond" w:eastAsia="Garamond" w:hAnsi="Garamond"/>
                <w:color w:val="4A4A4A"/>
                <w:sz w:val="18"/>
                <w:szCs w:val="18"/>
              </w:rPr>
              <w:t xml:space="preserve">Gap 3: new law required by expression</w:t>
            </w:r>
          </w:p>
        </w:tc>
      </w:tr>
      <w:tr>
        <w:tc>
          <w:tcPr>
            <w:tcW w:type="dxa" w:w="72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60"/>
            </w:tcMar>
          </w:tcPr>
          <w:p>
            <w:r>
              <w:rPr>
                <w:rFonts w:ascii="Courier New" w:cs="Courier New" w:eastAsia="Courier New" w:hAnsi="Courier New"/>
                <w:b/>
                <w:bCs/>
                <w:color w:val="3D1A78"/>
                <w:sz w:val="18"/>
                <w:szCs w:val="18"/>
              </w:rPr>
              <w:t xml:space="preserve">M11</w:t>
            </w:r>
          </w:p>
        </w:tc>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60"/>
            </w:tcMar>
          </w:tcPr>
          <w:p>
            <w:r>
              <w:rPr>
                <w:rFonts w:ascii="Garamond" w:cs="Garamond" w:eastAsia="Garamond" w:hAnsi="Garamond"/>
                <w:color w:val="2C2C2C"/>
                <w:sz w:val="20"/>
                <w:szCs w:val="20"/>
              </w:rPr>
              <w:t xml:space="preserve">Geometry Projection Law</w:t>
            </w:r>
          </w:p>
        </w:tc>
        <w:tc>
          <w:tcPr>
            <w:tcW w:type="dxa" w:w="160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60"/>
            </w:tcMar>
          </w:tcPr>
          <w:p>
            <w:r>
              <w:rPr>
                <w:rFonts w:ascii="Arial" w:cs="Arial" w:eastAsia="Arial" w:hAnsi="Arial"/>
                <w:b/>
                <w:bCs/>
                <w:color w:val="1F4E79"/>
                <w:sz w:val="18"/>
                <w:szCs w:val="18"/>
              </w:rPr>
              <w:t xml:space="preserve">Strong</w:t>
            </w:r>
          </w:p>
        </w:tc>
        <w:tc>
          <w:tcPr>
            <w:tcW w:type="dxa" w:w="3840"/>
            <w:tcBorders>
              <w:top w:val="single" w:color="CCCCCC" w:sz="1"/>
              <w:left w:val="single" w:color="CCCCCC" w:sz="1"/>
              <w:bottom w:val="single" w:color="CCCCCC" w:sz="1"/>
              <w:right w:val="single" w:color="CCCCCC" w:sz="1"/>
            </w:tcBorders>
            <w:tcMar>
              <w:top w:type="dxa" w:w="60"/>
              <w:left w:type="dxa" w:w="120"/>
              <w:bottom w:type="dxa" w:w="60"/>
              <w:right w:type="dxa" w:w="60"/>
            </w:tcMar>
          </w:tcPr>
          <w:p>
            <w:r>
              <w:rPr>
                <w:rFonts w:ascii="Garamond" w:cs="Garamond" w:eastAsia="Garamond" w:hAnsi="Garamond"/>
                <w:color w:val="4A4A4A"/>
                <w:sz w:val="18"/>
                <w:szCs w:val="18"/>
              </w:rPr>
              <w:t xml:space="preserve">Fixed-point convergence under R</w:t>
            </w:r>
          </w:p>
        </w:tc>
      </w:tr>
      <w:tr>
        <w:tc>
          <w:tcPr>
            <w:tcW w:type="dxa" w:w="72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60"/>
            </w:tcMar>
          </w:tcPr>
          <w:p>
            <w:r>
              <w:rPr>
                <w:rFonts w:ascii="Courier New" w:cs="Courier New" w:eastAsia="Courier New" w:hAnsi="Courier New"/>
                <w:b/>
                <w:bCs/>
                <w:color w:val="3D1A78"/>
                <w:sz w:val="18"/>
                <w:szCs w:val="18"/>
              </w:rPr>
              <w:t xml:space="preserve">M12</w:t>
            </w:r>
          </w:p>
        </w:tc>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60"/>
            </w:tcMar>
          </w:tcPr>
          <w:p>
            <w:r>
              <w:rPr>
                <w:rFonts w:ascii="Garamond" w:cs="Garamond" w:eastAsia="Garamond" w:hAnsi="Garamond"/>
                <w:color w:val="2C2C2C"/>
                <w:sz w:val="20"/>
                <w:szCs w:val="20"/>
              </w:rPr>
              <w:t xml:space="preserve">Curvature Failure Law</w:t>
            </w:r>
          </w:p>
        </w:tc>
        <w:tc>
          <w:tcPr>
            <w:tcW w:type="dxa" w:w="160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60"/>
            </w:tcMar>
          </w:tcPr>
          <w:p>
            <w:r>
              <w:rPr>
                <w:rFonts w:ascii="Arial" w:cs="Arial" w:eastAsia="Arial" w:hAnsi="Arial"/>
                <w:b/>
                <w:bCs/>
                <w:color w:val="1F4E79"/>
                <w:sz w:val="18"/>
                <w:szCs w:val="18"/>
              </w:rPr>
              <w:t xml:space="preserve">Strong</w:t>
            </w:r>
          </w:p>
        </w:tc>
        <w:tc>
          <w:tcPr>
            <w:tcW w:type="dxa" w:w="3840"/>
            <w:tcBorders>
              <w:top w:val="single" w:color="CCCCCC" w:sz="1"/>
              <w:left w:val="single" w:color="CCCCCC" w:sz="1"/>
              <w:bottom w:val="single" w:color="CCCCCC" w:sz="1"/>
              <w:right w:val="single" w:color="CCCCCC" w:sz="1"/>
            </w:tcBorders>
            <w:tcMar>
              <w:top w:type="dxa" w:w="60"/>
              <w:left w:type="dxa" w:w="120"/>
              <w:bottom w:type="dxa" w:w="60"/>
              <w:right w:type="dxa" w:w="60"/>
            </w:tcMar>
          </w:tcPr>
          <w:p>
            <w:r>
              <w:rPr>
                <w:rFonts w:ascii="Garamond" w:cs="Garamond" w:eastAsia="Garamond" w:hAnsi="Garamond"/>
                <w:color w:val="4A4A4A"/>
                <w:sz w:val="18"/>
                <w:szCs w:val="18"/>
              </w:rPr>
              <w:t xml:space="preserve">Projection collapse condition</w:t>
            </w:r>
          </w:p>
        </w:tc>
      </w:tr>
      <w:tr>
        <w:tc>
          <w:tcPr>
            <w:tcW w:type="dxa" w:w="72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60"/>
            </w:tcMar>
          </w:tcPr>
          <w:p>
            <w:r>
              <w:rPr>
                <w:rFonts w:ascii="Courier New" w:cs="Courier New" w:eastAsia="Courier New" w:hAnsi="Courier New"/>
                <w:b/>
                <w:bCs/>
                <w:color w:val="3D1A78"/>
                <w:sz w:val="18"/>
                <w:szCs w:val="18"/>
              </w:rPr>
              <w:t xml:space="preserve">M13</w:t>
            </w:r>
          </w:p>
        </w:tc>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60"/>
            </w:tcMar>
          </w:tcPr>
          <w:p>
            <w:r>
              <w:rPr>
                <w:rFonts w:ascii="Garamond" w:cs="Garamond" w:eastAsia="Garamond" w:hAnsi="Garamond"/>
                <w:color w:val="2C2C2C"/>
                <w:sz w:val="20"/>
                <w:szCs w:val="20"/>
              </w:rPr>
              <w:t xml:space="preserve">Collapse Law</w:t>
            </w:r>
          </w:p>
        </w:tc>
        <w:tc>
          <w:tcPr>
            <w:tcW w:type="dxa" w:w="160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60"/>
            </w:tcMar>
          </w:tcPr>
          <w:p>
            <w:r>
              <w:rPr>
                <w:rFonts w:ascii="Arial" w:cs="Arial" w:eastAsia="Arial" w:hAnsi="Arial"/>
                <w:b/>
                <w:bCs/>
                <w:color w:val="1F4E79"/>
                <w:sz w:val="18"/>
                <w:szCs w:val="18"/>
              </w:rPr>
              <w:t xml:space="preserve">Strong</w:t>
            </w:r>
          </w:p>
        </w:tc>
        <w:tc>
          <w:tcPr>
            <w:tcW w:type="dxa" w:w="3840"/>
            <w:tcBorders>
              <w:top w:val="single" w:color="CCCCCC" w:sz="1"/>
              <w:left w:val="single" w:color="CCCCCC" w:sz="1"/>
              <w:bottom w:val="single" w:color="CCCCCC" w:sz="1"/>
              <w:right w:val="single" w:color="CCCCCC" w:sz="1"/>
            </w:tcBorders>
            <w:tcMar>
              <w:top w:type="dxa" w:w="60"/>
              <w:left w:type="dxa" w:w="120"/>
              <w:bottom w:type="dxa" w:w="60"/>
              <w:right w:type="dxa" w:w="60"/>
            </w:tcMar>
          </w:tcPr>
          <w:p>
            <w:r>
              <w:rPr>
                <w:rFonts w:ascii="Garamond" w:cs="Garamond" w:eastAsia="Garamond" w:hAnsi="Garamond"/>
                <w:color w:val="4A4A4A"/>
                <w:sz w:val="18"/>
                <w:szCs w:val="18"/>
              </w:rPr>
              <w:t xml:space="preserve">Valve threshold function</w:t>
            </w:r>
          </w:p>
        </w:tc>
      </w:tr>
      <w:tr>
        <w:tc>
          <w:tcPr>
            <w:tcW w:type="dxa" w:w="720"/>
            <w:tcBorders>
              <w:top w:val="single" w:color="CCCCCC" w:sz="1"/>
              <w:left w:val="single" w:color="CCCCCC" w:sz="1"/>
              <w:bottom w:val="single" w:color="CCCCCC" w:sz="1"/>
              <w:right w:val="single" w:color="CCCCCC" w:sz="1"/>
            </w:tcBorders>
            <w:shd w:fill="F7F7F7" w:val="clear"/>
            <w:tcMar>
              <w:top w:type="dxa" w:w="60"/>
              <w:left w:type="dxa" w:w="120"/>
              <w:bottom w:type="dxa" w:w="60"/>
              <w:right w:type="dxa" w:w="60"/>
            </w:tcMar>
          </w:tcPr>
          <w:p>
            <w:r>
              <w:rPr>
                <w:rFonts w:ascii="Courier New" w:cs="Courier New" w:eastAsia="Courier New" w:hAnsi="Courier New"/>
                <w:b/>
                <w:bCs/>
                <w:color w:val="3D1A78"/>
                <w:sz w:val="18"/>
                <w:szCs w:val="18"/>
              </w:rPr>
              <w:t xml:space="preserve">M14</w:t>
            </w:r>
          </w:p>
        </w:tc>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60"/>
            </w:tcMar>
          </w:tcPr>
          <w:p>
            <w:r>
              <w:rPr>
                <w:rFonts w:ascii="Garamond" w:cs="Garamond" w:eastAsia="Garamond" w:hAnsi="Garamond"/>
                <w:color w:val="2C2C2C"/>
                <w:sz w:val="20"/>
                <w:szCs w:val="20"/>
              </w:rPr>
              <w:t xml:space="preserve">Closure Rule</w:t>
            </w:r>
          </w:p>
        </w:tc>
        <w:tc>
          <w:tcPr>
            <w:tcW w:type="dxa" w:w="160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60"/>
            </w:tcMar>
          </w:tcPr>
          <w:p>
            <w:r>
              <w:rPr>
                <w:rFonts w:ascii="Arial" w:cs="Arial" w:eastAsia="Arial" w:hAnsi="Arial"/>
                <w:b/>
                <w:bCs/>
                <w:color w:val="1A5C2E"/>
                <w:sz w:val="18"/>
                <w:szCs w:val="18"/>
              </w:rPr>
              <w:t xml:space="preserve">Perfect</w:t>
            </w:r>
          </w:p>
        </w:tc>
        <w:tc>
          <w:tcPr>
            <w:tcW w:type="dxa" w:w="3840"/>
            <w:tcBorders>
              <w:top w:val="single" w:color="CCCCCC" w:sz="1"/>
              <w:left w:val="single" w:color="CCCCCC" w:sz="1"/>
              <w:bottom w:val="single" w:color="CCCCCC" w:sz="1"/>
              <w:right w:val="single" w:color="CCCCCC" w:sz="1"/>
            </w:tcBorders>
            <w:tcMar>
              <w:top w:type="dxa" w:w="60"/>
              <w:left w:type="dxa" w:w="120"/>
              <w:bottom w:type="dxa" w:w="60"/>
              <w:right w:type="dxa" w:w="60"/>
            </w:tcMar>
          </w:tcPr>
          <w:p>
            <w:r>
              <w:rPr>
                <w:rFonts w:ascii="Garamond" w:cs="Garamond" w:eastAsia="Garamond" w:hAnsi="Garamond"/>
                <w:color w:val="4A4A4A"/>
                <w:sz w:val="18"/>
                <w:szCs w:val="18"/>
              </w:rPr>
              <w:t xml:space="preserve">Structural enforcement of ⇔R</w:t>
            </w:r>
          </w:p>
        </w:tc>
      </w:tr>
    </w:tbl>
    <w:p>
      <w:pPr>
        <w:spacing w:after="0" w:before="80"/>
      </w:pPr>
      <w:r>
        <w:t xml:space="preserve"/>
      </w:r>
    </w:p>
    <w:p>
      <w:pPr>
        <w:pStyle w:val="Heading1"/>
        <w:pBdr>
          <w:bottom w:val="single" w:color="1F4E79" w:sz="4"/>
        </w:pBdr>
        <w:spacing w:after="120" w:before="360"/>
      </w:pPr>
      <w:r>
        <w:rPr>
          <w:rFonts w:ascii="Arial" w:cs="Arial" w:eastAsia="Arial" w:hAnsi="Arial"/>
          <w:b/>
          <w:bCs/>
          <w:color w:val="1F4E79"/>
          <w:sz w:val="30"/>
          <w:szCs w:val="30"/>
        </w:rPr>
        <w:t xml:space="preserve">VI.  Document Dependency and Reading Order</w:t>
      </w:r>
    </w:p>
    <w:p>
      <w:pPr>
        <w:spacing w:after="80" w:before="80" w:line="280"/>
        <w:jc w:val="both"/>
      </w:pPr>
      <w:r>
        <w:rPr>
          <w:rFonts w:ascii="Garamond" w:cs="Garamond" w:eastAsia="Garamond" w:hAnsi="Garamond"/>
          <w:b w:val="false"/>
          <w:bCs w:val="false"/>
          <w:i w:val="false"/>
          <w:iCs w:val="false"/>
          <w:color w:val="2C2C2C"/>
          <w:sz w:val="22"/>
          <w:szCs w:val="22"/>
        </w:rPr>
        <w:t xml:space="preserve">The three source documents form a dependency chain. The following summarizes their mutual dependencies and the order in which they should be consulted when working from the core expression toward a closed specification.</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60"/>
              <w:bottom w:type="dxa" w:w="80"/>
              <w:right w:type="dxa" w:w="80"/>
            </w:tcMar>
            <w:vAlign w:val="top"/>
          </w:tcPr>
          <w:p>
            <w:r>
              <w:rPr>
                <w:rFonts w:ascii="Courier New" w:cs="Courier New" w:eastAsia="Courier New" w:hAnsi="Courier New"/>
                <w:b/>
                <w:bCs/>
                <w:color w:val="FFFFFF"/>
                <w:sz w:val="20"/>
                <w:szCs w:val="20"/>
              </w:rPr>
              <w:t xml:space="preserve">Document</w:t>
            </w:r>
          </w:p>
        </w:tc>
        <w:tc>
          <w:tcPr>
            <w:tcW w:type="dxa" w:w="6560"/>
            <w:tcBorders>
              <w:top w:val="single" w:color="CCCCCC" w:sz="1"/>
              <w:left w:val="single" w:color="CCCCCC" w:sz="1"/>
              <w:bottom w:val="single" w:color="CCCCCC" w:sz="1"/>
              <w:right w:val="single" w:color="CCCCCC" w:sz="1"/>
            </w:tcBorders>
            <w:shd w:fill="1F4E79" w:val="clear"/>
            <w:tcMar>
              <w:top w:type="dxa" w:w="80"/>
              <w:left w:type="dxa" w:w="160"/>
              <w:bottom w:type="dxa" w:w="80"/>
              <w:right w:type="dxa" w:w="80"/>
            </w:tcMar>
            <w:vAlign w:val="top"/>
          </w:tcPr>
          <w:p>
            <w:r>
              <w:rPr>
                <w:rFonts w:ascii="Garamond" w:cs="Garamond" w:eastAsia="Garamond" w:hAnsi="Garamond"/>
                <w:color w:val="FFFFFF"/>
                <w:sz w:val="20"/>
                <w:szCs w:val="20"/>
              </w:rPr>
              <w:t xml:space="preserve">Provides / Lacks</w:t>
            </w:r>
          </w:p>
        </w:tc>
      </w:tr>
      <w:tr>
        <w:tc>
          <w:tcPr>
            <w:tcW w:type="dxa" w:w="2800"/>
            <w:tcBorders>
              <w:top w:val="single" w:color="CCCCCC" w:sz="1"/>
              <w:left w:val="single" w:color="CCCCCC" w:sz="1"/>
              <w:bottom w:val="single" w:color="CCCCCC" w:sz="1"/>
              <w:right w:val="single" w:color="CCCCCC" w:sz="1"/>
            </w:tcBorders>
            <w:shd w:fill="F7F7F7" w:val="clear"/>
            <w:tcMar>
              <w:top w:type="dxa" w:w="80"/>
              <w:left w:type="dxa" w:w="160"/>
              <w:bottom w:type="dxa" w:w="80"/>
              <w:right w:type="dxa" w:w="80"/>
            </w:tcMar>
            <w:vAlign w:val="top"/>
          </w:tcPr>
          <w:p>
            <w:r>
              <w:rPr>
                <w:rFonts w:ascii="Courier New" w:cs="Courier New" w:eastAsia="Courier New" w:hAnsi="Courier New"/>
                <w:b/>
                <w:bCs/>
                <w:color w:val="1F4E79"/>
                <w:sz w:val="18"/>
                <w:szCs w:val="18"/>
              </w:rPr>
              <w:t xml:space="preserve">(ℰ ≠ 0) ⇔ δ(ℰ &gt; 0)</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80"/>
            </w:tcMar>
            <w:vAlign w:val="top"/>
          </w:tcPr>
          <w:p>
            <w:r>
              <w:rPr>
                <w:rFonts w:ascii="Garamond" w:cs="Garamond" w:eastAsia="Garamond" w:hAnsi="Garamond"/>
                <w:color w:val="2C2C2C"/>
                <w:sz w:val="20"/>
                <w:szCs w:val="20"/>
              </w:rPr>
              <w:t xml:space="preserve">Provides: three-region intuition, M0–M14 list, candidate valve A(ε,ρ,R)=σ(…). Lacks: fully specified Aα orientation, NavT structure, closed CSI rule.</w:t>
            </w:r>
          </w:p>
        </w:tc>
      </w:tr>
      <w:tr>
        <w:tc>
          <w:tcPr>
            <w:tcW w:type="dxa" w:w="2800"/>
            <w:tcBorders>
              <w:top w:val="single" w:color="CCCCCC" w:sz="1"/>
              <w:left w:val="single" w:color="CCCCCC" w:sz="1"/>
              <w:bottom w:val="single" w:color="CCCCCC" w:sz="1"/>
              <w:right w:val="single" w:color="CCCCCC" w:sz="1"/>
            </w:tcBorders>
            <w:shd w:fill="F7F7F7" w:val="clear"/>
            <w:tcMar>
              <w:top w:type="dxa" w:w="80"/>
              <w:left w:type="dxa" w:w="160"/>
              <w:bottom w:type="dxa" w:w="80"/>
              <w:right w:type="dxa" w:w="80"/>
            </w:tcMar>
            <w:vAlign w:val="top"/>
          </w:tcPr>
          <w:p>
            <w:r>
              <w:rPr>
                <w:rFonts w:ascii="Courier New" w:cs="Courier New" w:eastAsia="Courier New" w:hAnsi="Courier New"/>
                <w:b/>
                <w:bCs/>
                <w:color w:val="1F4E79"/>
                <w:sz w:val="18"/>
                <w:szCs w:val="18"/>
              </w:rPr>
              <w:t xml:space="preserve">TN_MLaw_Derivation_v01</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80"/>
            </w:tcMar>
            <w:vAlign w:val="top"/>
          </w:tcPr>
          <w:p>
            <w:r>
              <w:rPr>
                <w:rFonts w:ascii="Garamond" w:cs="Garamond" w:eastAsia="Garamond" w:hAnsi="Garamond"/>
                <w:color w:val="2C2C2C"/>
                <w:sz w:val="20"/>
                <w:szCs w:val="20"/>
              </w:rPr>
              <w:t xml:space="preserve">Provides: formal claim that M-laws are derivable, derivations for all 14, explicit Gap 1–3 identification. Lacks: gap closures themselves.</w:t>
            </w:r>
          </w:p>
        </w:tc>
      </w:tr>
      <w:tr>
        <w:tc>
          <w:tcPr>
            <w:tcW w:type="dxa" w:w="2800"/>
            <w:tcBorders>
              <w:top w:val="single" w:color="CCCCCC" w:sz="1"/>
              <w:left w:val="single" w:color="CCCCCC" w:sz="1"/>
              <w:bottom w:val="single" w:color="CCCCCC" w:sz="1"/>
              <w:right w:val="single" w:color="CCCCCC" w:sz="1"/>
            </w:tcBorders>
            <w:shd w:fill="F7F7F7" w:val="clear"/>
            <w:tcMar>
              <w:top w:type="dxa" w:w="80"/>
              <w:left w:type="dxa" w:w="160"/>
              <w:bottom w:type="dxa" w:w="80"/>
              <w:right w:type="dxa" w:w="80"/>
            </w:tcMar>
            <w:vAlign w:val="top"/>
          </w:tcPr>
          <w:p>
            <w:r>
              <w:rPr>
                <w:rFonts w:ascii="Courier New" w:cs="Courier New" w:eastAsia="Courier New" w:hAnsi="Courier New"/>
                <w:b/>
                <w:bCs/>
                <w:color w:val="1F4E79"/>
                <w:sz w:val="18"/>
                <w:szCs w:val="18"/>
              </w:rPr>
              <w:t xml:space="preserve">TN_Admissibility_Window_and_Local_R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80"/>
            </w:tcMar>
            <w:vAlign w:val="top"/>
          </w:tcPr>
          <w:p>
            <w:r>
              <w:rPr>
                <w:rFonts w:ascii="Garamond" w:cs="Garamond" w:eastAsia="Garamond" w:hAnsi="Garamond"/>
                <w:color w:val="2C2C2C"/>
                <w:sz w:val="20"/>
                <w:szCs w:val="20"/>
              </w:rPr>
              <w:t xml:space="preserve">Provides: Aα/O*/−(i) role separation, CSI admissibility-overlap proposal (closes Gap 3 conditionally on Gap 1). Partially supports Gap 1 by making Aα explicitly dynamic in (εα, ρα, Rα).</w:t>
            </w:r>
          </w:p>
        </w:tc>
      </w:tr>
    </w:tbl>
    <w:p>
      <w:pPr>
        <w:spacing w:after="0" w:before="80"/>
      </w:pPr>
      <w:r>
        <w:t xml:space="preserve"/>
      </w:r>
    </w:p>
    <w:p>
      <w:pPr>
        <w:spacing w:after="80" w:before="80" w:line="280"/>
        <w:jc w:val="both"/>
      </w:pPr>
      <w:r>
        <w:rPr>
          <w:rFonts w:ascii="Garamond" w:cs="Garamond" w:eastAsia="Garamond" w:hAnsi="Garamond"/>
          <w:b w:val="false"/>
          <w:bCs w:val="false"/>
          <w:i w:val="false"/>
          <w:iCs w:val="false"/>
          <w:color w:val="2C2C2C"/>
          <w:sz w:val="22"/>
          <w:szCs w:val="22"/>
        </w:rPr>
        <w:t xml:space="preserve">Reading order for a new reader: (1) TN_MLaw_Derivation_v01 — establishes what must be true if the core expression is taken seriously. (2) TN_Admissibility_Window_and_Local_R — establishes how to define Aα, ΠAα, O*, and −(i) without conflation. (3) The working capture — treat as the compressed record that should be updated only when Gaps 1–3 are closed.</w:t>
      </w:r>
    </w:p>
    <w:p>
      <w:pPr>
        <w:pStyle w:val="Heading1"/>
        <w:pBdr>
          <w:bottom w:val="single" w:color="1F4E79" w:sz="4"/>
        </w:pBdr>
        <w:spacing w:after="120" w:before="360"/>
      </w:pPr>
      <w:r>
        <w:rPr>
          <w:rFonts w:ascii="Arial" w:cs="Arial" w:eastAsia="Arial" w:hAnsi="Arial"/>
          <w:b/>
          <w:bCs/>
          <w:color w:val="1F4E79"/>
          <w:sz w:val="30"/>
          <w:szCs w:val="30"/>
        </w:rPr>
        <w:t xml:space="preserve">VII.  Notation Unification</w:t>
      </w:r>
    </w:p>
    <w:p>
      <w:pPr>
        <w:spacing w:after="80" w:before="80" w:line="280"/>
        <w:jc w:val="both"/>
      </w:pPr>
      <w:r>
        <w:rPr>
          <w:rFonts w:ascii="Garamond" w:cs="Garamond" w:eastAsia="Garamond" w:hAnsi="Garamond"/>
          <w:b w:val="false"/>
          <w:bCs w:val="false"/>
          <w:i w:val="false"/>
          <w:iCs w:val="false"/>
          <w:color w:val="2C2C2C"/>
          <w:sz w:val="22"/>
          <w:szCs w:val="22"/>
        </w:rPr>
        <w:t xml:space="preserve">Across the source documents the same objects appear under slightly different glyphs. The following table establishes the unified reading for all notation. No source document is rewritten; this table governs interpretation when consulting any of the three.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1F4E79" w:val="clear"/>
            <w:tcMar>
              <w:top w:type="dxa" w:w="80"/>
              <w:left w:type="dxa" w:w="160"/>
              <w:bottom w:type="dxa" w:w="80"/>
              <w:right w:type="dxa" w:w="80"/>
            </w:tcMar>
            <w:vAlign w:val="top"/>
          </w:tcPr>
          <w:p>
            <w:r>
              <w:rPr>
                <w:rFonts w:ascii="Courier New" w:cs="Courier New" w:eastAsia="Courier New" w:hAnsi="Courier New"/>
                <w:b/>
                <w:bCs/>
                <w:color w:val="FFFFFF"/>
                <w:sz w:val="20"/>
                <w:szCs w:val="20"/>
              </w:rPr>
              <w:t xml:space="preserve">Notation variant</w:t>
            </w:r>
          </w:p>
        </w:tc>
        <w:tc>
          <w:tcPr>
            <w:tcW w:type="dxa" w:w="6760"/>
            <w:tcBorders>
              <w:top w:val="single" w:color="CCCCCC" w:sz="1"/>
              <w:left w:val="single" w:color="CCCCCC" w:sz="1"/>
              <w:bottom w:val="single" w:color="CCCCCC" w:sz="1"/>
              <w:right w:val="single" w:color="CCCCCC" w:sz="1"/>
            </w:tcBorders>
            <w:shd w:fill="1F4E79" w:val="clear"/>
            <w:tcMar>
              <w:top w:type="dxa" w:w="80"/>
              <w:left w:type="dxa" w:w="160"/>
              <w:bottom w:type="dxa" w:w="80"/>
              <w:right w:type="dxa" w:w="80"/>
            </w:tcMar>
            <w:vAlign w:val="top"/>
          </w:tcPr>
          <w:p>
            <w:r>
              <w:rPr>
                <w:rFonts w:ascii="Garamond" w:cs="Garamond" w:eastAsia="Garamond" w:hAnsi="Garamond"/>
                <w:color w:val="FFFFFF"/>
                <w:sz w:val="20"/>
                <w:szCs w:val="20"/>
              </w:rPr>
              <w:t xml:space="preserve">Unified reading</w:t>
            </w:r>
          </w:p>
        </w:tc>
      </w:tr>
      <w:tr>
        <w:tc>
          <w:tcPr>
            <w:tcW w:type="dxa" w:w="2600"/>
            <w:tcBorders>
              <w:top w:val="single" w:color="CCCCCC" w:sz="1"/>
              <w:left w:val="single" w:color="CCCCCC" w:sz="1"/>
              <w:bottom w:val="single" w:color="CCCCCC" w:sz="1"/>
              <w:right w:val="single" w:color="CCCCCC" w:sz="1"/>
            </w:tcBorders>
            <w:shd w:fill="F7F7F7" w:val="clear"/>
            <w:tcMar>
              <w:top w:type="dxa" w:w="80"/>
              <w:left w:type="dxa" w:w="160"/>
              <w:bottom w:type="dxa" w:w="80"/>
              <w:right w:type="dxa" w:w="80"/>
            </w:tcMar>
            <w:vAlign w:val="top"/>
          </w:tcPr>
          <w:p>
            <w:r>
              <w:rPr>
                <w:rFonts w:ascii="Courier New" w:cs="Courier New" w:eastAsia="Courier New" w:hAnsi="Courier New"/>
                <w:b/>
                <w:bCs/>
                <w:color w:val="1F4E79"/>
                <w:sz w:val="18"/>
                <w:szCs w:val="18"/>
              </w:rPr>
              <w:t xml:space="preserve">Eα  /  ℰ</w:t>
            </w:r>
          </w:p>
        </w:tc>
        <w:tc>
          <w:tcPr>
            <w:tcW w:type="dxa" w:w="6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80"/>
            </w:tcMar>
            <w:vAlign w:val="top"/>
          </w:tcPr>
          <w:p>
            <w:r>
              <w:rPr>
                <w:rFonts w:ascii="Garamond" w:cs="Garamond" w:eastAsia="Garamond" w:hAnsi="Garamond"/>
                <w:color w:val="2C2C2C"/>
                <w:sz w:val="20"/>
                <w:szCs w:val="20"/>
              </w:rPr>
              <w:t xml:space="preserve">Same scalar: total deviation magnitude / existence scalar for process α. Use Eα when indexing matters; ℰ in the non-indexed regime.</w:t>
            </w:r>
          </w:p>
        </w:tc>
      </w:tr>
      <w:tr>
        <w:tc>
          <w:tcPr>
            <w:tcW w:type="dxa" w:w="2600"/>
            <w:tcBorders>
              <w:top w:val="single" w:color="CCCCCC" w:sz="1"/>
              <w:left w:val="single" w:color="CCCCCC" w:sz="1"/>
              <w:bottom w:val="single" w:color="CCCCCC" w:sz="1"/>
              <w:right w:val="single" w:color="CCCCCC" w:sz="1"/>
            </w:tcBorders>
            <w:shd w:fill="F7F7F7" w:val="clear"/>
            <w:tcMar>
              <w:top w:type="dxa" w:w="80"/>
              <w:left w:type="dxa" w:w="160"/>
              <w:bottom w:type="dxa" w:w="80"/>
              <w:right w:type="dxa" w:w="80"/>
            </w:tcMar>
            <w:vAlign w:val="top"/>
          </w:tcPr>
          <w:p>
            <w:r>
              <w:rPr>
                <w:rFonts w:ascii="Courier New" w:cs="Courier New" w:eastAsia="Courier New" w:hAnsi="Courier New"/>
                <w:b/>
                <w:bCs/>
                <w:color w:val="1F4E79"/>
                <w:sz w:val="18"/>
                <w:szCs w:val="18"/>
              </w:rPr>
              <w:t xml:space="preserve">δ(ℰ &gt; 0)</w:t>
            </w:r>
          </w:p>
        </w:tc>
        <w:tc>
          <w:tcPr>
            <w:tcW w:type="dxa" w:w="6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80"/>
            </w:tcMar>
            <w:vAlign w:val="top"/>
          </w:tcPr>
          <w:p>
            <w:r>
              <w:rPr>
                <w:rFonts w:ascii="Garamond" w:cs="Garamond" w:eastAsia="Garamond" w:hAnsi="Garamond"/>
                <w:color w:val="2C2C2C"/>
                <w:sz w:val="20"/>
                <w:szCs w:val="20"/>
              </w:rPr>
              <w:t xml:space="preserve">Shorthand for 'the process/update side is active.' In indexed form: Δxα := x′α − xα = ΠAα(Σβ∈CSI(α) NavT(ωα, ωβ)).</w:t>
            </w:r>
          </w:p>
        </w:tc>
      </w:tr>
      <w:tr>
        <w:tc>
          <w:tcPr>
            <w:tcW w:type="dxa" w:w="2600"/>
            <w:tcBorders>
              <w:top w:val="single" w:color="CCCCCC" w:sz="1"/>
              <w:left w:val="single" w:color="CCCCCC" w:sz="1"/>
              <w:bottom w:val="single" w:color="CCCCCC" w:sz="1"/>
              <w:right w:val="single" w:color="CCCCCC" w:sz="1"/>
            </w:tcBorders>
            <w:shd w:fill="F7F7F7" w:val="clear"/>
            <w:tcMar>
              <w:top w:type="dxa" w:w="80"/>
              <w:left w:type="dxa" w:w="160"/>
              <w:bottom w:type="dxa" w:w="80"/>
              <w:right w:type="dxa" w:w="80"/>
            </w:tcMar>
            <w:vAlign w:val="top"/>
          </w:tcPr>
          <w:p>
            <w:r>
              <w:rPr>
                <w:rFonts w:ascii="Courier New" w:cs="Courier New" w:eastAsia="Courier New" w:hAnsi="Courier New"/>
                <w:b/>
                <w:bCs/>
                <w:color w:val="1F4E79"/>
                <w:sz w:val="18"/>
                <w:szCs w:val="18"/>
              </w:rPr>
              <w:t xml:space="preserve">ωα</w:t>
            </w:r>
          </w:p>
        </w:tc>
        <w:tc>
          <w:tcPr>
            <w:tcW w:type="dxa" w:w="6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80"/>
            </w:tcMar>
            <w:vAlign w:val="top"/>
          </w:tcPr>
          <w:p>
            <w:r>
              <w:rPr>
                <w:rFonts w:ascii="Garamond" w:cs="Garamond" w:eastAsia="Garamond" w:hAnsi="Garamond"/>
                <w:color w:val="2C2C2C"/>
                <w:sz w:val="20"/>
                <w:szCs w:val="20"/>
              </w:rPr>
              <w:t xml:space="preserve">Phase-like state descriptor for α; input to transport. Replaced by −(i)α after O* is defined.</w:t>
            </w:r>
          </w:p>
        </w:tc>
      </w:tr>
      <w:tr>
        <w:tc>
          <w:tcPr>
            <w:tcW w:type="dxa" w:w="2600"/>
            <w:tcBorders>
              <w:top w:val="single" w:color="CCCCCC" w:sz="1"/>
              <w:left w:val="single" w:color="CCCCCC" w:sz="1"/>
              <w:bottom w:val="single" w:color="CCCCCC" w:sz="1"/>
              <w:right w:val="single" w:color="CCCCCC" w:sz="1"/>
            </w:tcBorders>
            <w:shd w:fill="F7F7F7" w:val="clear"/>
            <w:tcMar>
              <w:top w:type="dxa" w:w="80"/>
              <w:left w:type="dxa" w:w="160"/>
              <w:bottom w:type="dxa" w:w="80"/>
              <w:right w:type="dxa" w:w="80"/>
            </w:tcMar>
            <w:vAlign w:val="top"/>
          </w:tcPr>
          <w:p>
            <w:r>
              <w:rPr>
                <w:rFonts w:ascii="Courier New" w:cs="Courier New" w:eastAsia="Courier New" w:hAnsi="Courier New"/>
                <w:b/>
                <w:bCs/>
                <w:color w:val="1F4E79"/>
                <w:sz w:val="18"/>
                <w:szCs w:val="18"/>
              </w:rPr>
              <w:t xml:space="preserve">−(i)α</w:t>
            </w:r>
          </w:p>
        </w:tc>
        <w:tc>
          <w:tcPr>
            <w:tcW w:type="dxa" w:w="6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80"/>
            </w:tcMar>
            <w:vAlign w:val="top"/>
          </w:tcPr>
          <w:p>
            <w:r>
              <w:rPr>
                <w:rFonts w:ascii="Garamond" w:cs="Garamond" w:eastAsia="Garamond" w:hAnsi="Garamond"/>
                <w:color w:val="2C2C2C"/>
                <w:sz w:val="20"/>
                <w:szCs w:val="20"/>
              </w:rPr>
              <w:t xml:space="preserve">Induced local reference/orientation derived from selection under mismatch. Not a primitive input.</w:t>
            </w:r>
          </w:p>
        </w:tc>
      </w:tr>
      <w:tr>
        <w:tc>
          <w:tcPr>
            <w:tcW w:type="dxa" w:w="2600"/>
            <w:tcBorders>
              <w:top w:val="single" w:color="CCCCCC" w:sz="1"/>
              <w:left w:val="single" w:color="CCCCCC" w:sz="1"/>
              <w:bottom w:val="single" w:color="CCCCCC" w:sz="1"/>
              <w:right w:val="single" w:color="CCCCCC" w:sz="1"/>
            </w:tcBorders>
            <w:shd w:fill="F7F7F7" w:val="clear"/>
            <w:tcMar>
              <w:top w:type="dxa" w:w="80"/>
              <w:left w:type="dxa" w:w="160"/>
              <w:bottom w:type="dxa" w:w="80"/>
              <w:right w:type="dxa" w:w="80"/>
            </w:tcMar>
            <w:vAlign w:val="top"/>
          </w:tcPr>
          <w:p>
            <w:r>
              <w:rPr>
                <w:rFonts w:ascii="Courier New" w:cs="Courier New" w:eastAsia="Courier New" w:hAnsi="Courier New"/>
                <w:b/>
                <w:bCs/>
                <w:color w:val="1F4E79"/>
                <w:sz w:val="18"/>
                <w:szCs w:val="18"/>
              </w:rPr>
              <w:t xml:space="preserve">NavT(−(i)α, −(i)β)</w:t>
            </w:r>
          </w:p>
        </w:tc>
        <w:tc>
          <w:tcPr>
            <w:tcW w:type="dxa" w:w="6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80"/>
            </w:tcMar>
            <w:vAlign w:val="top"/>
          </w:tcPr>
          <w:p>
            <w:r>
              <w:rPr>
                <w:rFonts w:ascii="Garamond" w:cs="Garamond" w:eastAsia="Garamond" w:hAnsi="Garamond"/>
                <w:color w:val="2C2C2C"/>
                <w:sz w:val="20"/>
                <w:szCs w:val="20"/>
              </w:rPr>
              <w:t xml:space="preserve">Refinement step: ω is replaced by the derived reference variable once O* is defined and −(i) is induced.</w:t>
            </w:r>
          </w:p>
        </w:tc>
      </w:tr>
      <w:tr>
        <w:tc>
          <w:tcPr>
            <w:tcW w:type="dxa" w:w="2600"/>
            <w:tcBorders>
              <w:top w:val="single" w:color="CCCCCC" w:sz="1"/>
              <w:left w:val="single" w:color="CCCCCC" w:sz="1"/>
              <w:bottom w:val="single" w:color="CCCCCC" w:sz="1"/>
              <w:right w:val="single" w:color="CCCCCC" w:sz="1"/>
            </w:tcBorders>
            <w:shd w:fill="F7F7F7" w:val="clear"/>
            <w:tcMar>
              <w:top w:type="dxa" w:w="80"/>
              <w:left w:type="dxa" w:w="160"/>
              <w:bottom w:type="dxa" w:w="80"/>
              <w:right w:type="dxa" w:w="80"/>
            </w:tcMar>
            <w:vAlign w:val="top"/>
          </w:tcPr>
          <w:p>
            <w:r>
              <w:rPr>
                <w:rFonts w:ascii="Courier New" w:cs="Courier New" w:eastAsia="Courier New" w:hAnsi="Courier New"/>
                <w:b/>
                <w:bCs/>
                <w:color w:val="1F4E79"/>
                <w:sz w:val="18"/>
                <w:szCs w:val="18"/>
              </w:rPr>
              <w:t xml:space="preserve">⇔R  /  ⇔_residue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80"/>
            </w:tcMar>
            <w:vAlign w:val="top"/>
          </w:tcPr>
          <w:p>
            <w:r>
              <w:rPr>
                <w:rFonts w:ascii="Garamond" w:cs="Garamond" w:eastAsia="Garamond" w:hAnsi="Garamond"/>
                <w:color w:val="2C2C2C"/>
                <w:sz w:val="20"/>
                <w:szCs w:val="20"/>
              </w:rPr>
              <w:t xml:space="preserve">Residue-indexed biconditional. Same connective; the subscript is written R or 'residue' across documents.</w:t>
            </w:r>
          </w:p>
        </w:tc>
      </w:tr>
      <w:tr>
        <w:tc>
          <w:tcPr>
            <w:tcW w:type="dxa" w:w="2600"/>
            <w:tcBorders>
              <w:top w:val="single" w:color="CCCCCC" w:sz="1"/>
              <w:left w:val="single" w:color="CCCCCC" w:sz="1"/>
              <w:bottom w:val="single" w:color="CCCCCC" w:sz="1"/>
              <w:right w:val="single" w:color="CCCCCC" w:sz="1"/>
            </w:tcBorders>
            <w:shd w:fill="F7F7F7" w:val="clear"/>
            <w:tcMar>
              <w:top w:type="dxa" w:w="80"/>
              <w:left w:type="dxa" w:w="160"/>
              <w:bottom w:type="dxa" w:w="80"/>
              <w:right w:type="dxa" w:w="80"/>
            </w:tcMar>
            <w:vAlign w:val="top"/>
          </w:tcPr>
          <w:p>
            <w:r>
              <w:rPr>
                <w:rFonts w:ascii="Courier New" w:cs="Courier New" w:eastAsia="Courier New" w:hAnsi="Courier New"/>
                <w:b/>
                <w:bCs/>
                <w:color w:val="1F4E79"/>
                <w:sz w:val="18"/>
                <w:szCs w:val="18"/>
              </w:rPr>
              <w:t xml:space="preserve">CSI(α)  /  csi(α)</w:t>
            </w:r>
          </w:p>
        </w:tc>
        <w:tc>
          <w:tcPr>
            <w:tcW w:type="dxa" w:w="6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80"/>
            </w:tcMar>
            <w:vAlign w:val="top"/>
          </w:tcPr>
          <w:p>
            <w:r>
              <w:rPr>
                <w:rFonts w:ascii="Garamond" w:cs="Garamond" w:eastAsia="Garamond" w:hAnsi="Garamond"/>
                <w:color w:val="2C2C2C"/>
                <w:sz w:val="20"/>
                <w:szCs w:val="20"/>
              </w:rPr>
              <w:t xml:space="preserve">Coherent source interface. Same set; capitalization varies across documents.</w:t>
            </w:r>
          </w:p>
        </w:tc>
      </w:tr>
    </w:tbl>
    <w:p>
      <w:pPr>
        <w:spacing w:after="0" w:before="80"/>
      </w:pPr>
      <w:r>
        <w:t xml:space="preserve"/>
      </w:r>
    </w:p>
    <w:p>
      <w:pPr>
        <w:pStyle w:val="Heading1"/>
        <w:pBdr>
          <w:bottom w:val="single" w:color="1F4E79" w:sz="4"/>
        </w:pBdr>
        <w:spacing w:after="120" w:before="360"/>
      </w:pPr>
      <w:r>
        <w:rPr>
          <w:rFonts w:ascii="Arial" w:cs="Arial" w:eastAsia="Arial" w:hAnsi="Arial"/>
          <w:b/>
          <w:bCs/>
          <w:color w:val="1F4E79"/>
          <w:sz w:val="30"/>
          <w:szCs w:val="30"/>
        </w:rPr>
        <w:t xml:space="preserve">VIII.  Conclusions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8"/>
              <w:left w:val="single" w:color="1F4E79" w:sz="8"/>
              <w:bottom w:val="single" w:color="CCCCCC" w:sz="1"/>
              <w:right w:val="single" w:color="CCCCCC" w:sz="1"/>
            </w:tcBorders>
            <w:shd w:fill="EAF2FB" w:val="clear"/>
            <w:tcMar>
              <w:top w:type="dxa" w:w="100"/>
              <w:left w:type="dxa" w:w="200"/>
              <w:bottom w:type="dxa" w:w="100"/>
              <w:right w:type="dxa" w:w="200"/>
            </w:tcMar>
          </w:tcPr>
          <w:p>
            <w:pPr>
              <w:spacing w:after="60" w:before="0"/>
            </w:pPr>
            <w:r>
              <w:rPr>
                <w:rFonts w:ascii="Arial" w:cs="Arial" w:eastAsia="Arial" w:hAnsi="Arial"/>
                <w:b/>
                <w:bCs/>
                <w:color w:val="1F4E79"/>
                <w:sz w:val="20"/>
                <w:szCs w:val="20"/>
              </w:rPr>
              <w:t xml:space="preserve">RESULT</w:t>
            </w:r>
          </w:p>
          <w:p>
            <w:pPr>
              <w:spacing w:after="40" w:before="0"/>
            </w:pPr>
            <w:r>
              <w:rPr>
                <w:rFonts w:ascii="Garamond" w:cs="Garamond" w:eastAsia="Garamond" w:hAnsi="Garamond"/>
                <w:color w:val="2C2C2C"/>
                <w:sz w:val="20"/>
                <w:szCs w:val="20"/>
              </w:rPr>
              <w:t xml:space="preserve">The core expression Eα &gt; 0 ⇔R x′α = xα + ΠAα(Σ NavT) is generative with respect to the M-Laws.</w:t>
            </w:r>
          </w:p>
          <w:p>
            <w:pPr>
              <w:spacing w:after="40" w:before="0"/>
            </w:pPr>
            <w:r>
              <w:rPr>
                <w:rFonts w:ascii="Garamond" w:cs="Garamond" w:eastAsia="Garamond" w:hAnsi="Garamond"/>
                <w:color w:val="2C2C2C"/>
                <w:sz w:val="20"/>
                <w:szCs w:val="20"/>
              </w:rPr>
              <w:t xml:space="preserve">All fourteen laws are derivable as structural consequences, subject to three gap closures.</w:t>
            </w:r>
          </w:p>
          <w:p>
            <w:pPr>
              <w:spacing w:after="40" w:before="0"/>
            </w:pPr>
            <w:r>
              <w:rPr>
                <w:rFonts w:ascii="Garamond" w:cs="Garamond" w:eastAsia="Garamond" w:hAnsi="Garamond"/>
                <w:color w:val="2C2C2C"/>
                <w:sz w:val="20"/>
                <w:szCs w:val="20"/>
              </w:rPr>
              <w:t xml:space="preserve">Derived laws are generally stronger than current candidates: more mechanistic, more formally grounded.</w:t>
            </w:r>
          </w:p>
          <w:p>
            <w:pPr>
              <w:spacing w:after="40" w:before="0"/>
            </w:pPr>
            <w:r>
              <w:rPr>
                <w:rFonts w:ascii="Garamond" w:cs="Garamond" w:eastAsia="Garamond" w:hAnsi="Garamond"/>
                <w:color w:val="2C2C2C"/>
                <w:sz w:val="20"/>
                <w:szCs w:val="20"/>
              </w:rPr>
              <w:t xml:space="preserve">Two laws match perfectly (M7, M14); eight are strongly supported; one is partial (M5); one is moderate (M8); one is a new demanded law (M10).</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1A1A" w:sz="8"/>
              <w:left w:val="single" w:color="8B1A1A" w:sz="8"/>
              <w:bottom w:val="single" w:color="CCCCCC" w:sz="1"/>
              <w:right w:val="single" w:color="CCCCCC" w:sz="1"/>
            </w:tcBorders>
            <w:shd w:fill="FFF5F5" w:val="clear"/>
            <w:tcMar>
              <w:top w:type="dxa" w:w="100"/>
              <w:left w:type="dxa" w:w="200"/>
              <w:bottom w:type="dxa" w:w="100"/>
              <w:right w:type="dxa" w:w="200"/>
            </w:tcMar>
          </w:tcPr>
          <w:p>
            <w:pPr>
              <w:spacing w:after="60" w:before="0"/>
            </w:pPr>
            <w:r>
              <w:rPr>
                <w:rFonts w:ascii="Arial" w:cs="Arial" w:eastAsia="Arial" w:hAnsi="Arial"/>
                <w:b/>
                <w:bCs/>
                <w:color w:val="8B1A1A"/>
                <w:sz w:val="20"/>
                <w:szCs w:val="20"/>
              </w:rPr>
              <w:t xml:space="preserve">LIMIT / OPEN — Three definitions required</w:t>
            </w:r>
          </w:p>
          <w:p>
            <w:pPr>
              <w:spacing w:after="40" w:before="0"/>
            </w:pPr>
            <w:r>
              <w:rPr>
                <w:rFonts w:ascii="Garamond" w:cs="Garamond" w:eastAsia="Garamond" w:hAnsi="Garamond"/>
                <w:color w:val="2C2C2C"/>
                <w:sz w:val="20"/>
                <w:szCs w:val="20"/>
              </w:rPr>
              <w:t xml:space="preserve">Gap 1 (M5): Aα oriented structure. Candidate: Aα := {δ ∈ T_{xα}M : ρα + αRα − β|δ| − θ &gt; 0}.</w:t>
            </w:r>
          </w:p>
          <w:p>
            <w:pPr>
              <w:spacing w:after="40" w:before="0"/>
            </w:pPr>
            <w:r>
              <w:rPr>
                <w:rFonts w:ascii="Garamond" w:cs="Garamond" w:eastAsia="Garamond" w:hAnsi="Garamond"/>
                <w:color w:val="2C2C2C"/>
                <w:sz w:val="20"/>
                <w:szCs w:val="20"/>
              </w:rPr>
              <w:t xml:space="preserve">Gap 2 (M8): NavT transport frame. Candidate: NavT(ωα, ωβ) := P_T[(ωα − ωβ) ⊗ Rαβ].</w:t>
            </w:r>
          </w:p>
          <w:p>
            <w:pPr>
              <w:spacing w:after="40" w:before="0"/>
            </w:pPr>
            <w:r>
              <w:rPr>
                <w:rFonts w:ascii="Garamond" w:cs="Garamond" w:eastAsia="Garamond" w:hAnsi="Garamond"/>
                <w:color w:val="2C2C2C"/>
                <w:sz w:val="20"/>
                <w:szCs w:val="20"/>
              </w:rPr>
              <w:t xml:space="preserve">Gap 3 (M10): CSI formation rule. Candidate: β ∈ CSI(α) ⟺ Aα ∩ Aβ ≠ ∅ under current R.</w:t>
            </w:r>
          </w:p>
          <w:p>
            <w:pPr>
              <w:spacing w:after="40" w:before="0"/>
            </w:pPr>
            <w:r>
              <w:rPr>
                <w:rFonts w:ascii="Garamond" w:cs="Garamond" w:eastAsia="Garamond" w:hAnsi="Garamond"/>
                <w:color w:val="2C2C2C"/>
                <w:sz w:val="20"/>
                <w:szCs w:val="20"/>
              </w:rPr>
              <w:t xml:space="preserve">Closure order: Gap 1 must be resolved before Gap 3 can be closed.</w:t>
            </w:r>
          </w:p>
        </w:tc>
      </w:tr>
    </w:tbl>
    <w:p>
      <w:pPr>
        <w:spacing w:after="0" w:before="100"/>
      </w:pPr>
      <w:r>
        <w:t xml:space="preserve"/>
      </w:r>
    </w:p>
    <w:p>
      <w:pPr>
        <w:spacing w:after="80" w:before="80" w:line="280"/>
        <w:jc w:val="both"/>
      </w:pPr>
      <w:r>
        <w:rPr>
          <w:rFonts w:ascii="Garamond" w:cs="Garamond" w:eastAsia="Garamond" w:hAnsi="Garamond"/>
          <w:b w:val="false"/>
          <w:bCs w:val="false"/>
          <w:i w:val="false"/>
          <w:iCs w:val="false"/>
          <w:color w:val="2C2C2C"/>
          <w:sz w:val="22"/>
          <w:szCs w:val="22"/>
        </w:rPr>
        <w:t xml:space="preserve">The epistemological consequence is significant. If the current M-Law candidates are phenomenological summaries, the expression allows them to be replaced by derived consequences — which is a stronger epistemic position. The M-Laws would no longer be stipulated but would follow from the single biconditional update rule, making the framework more internally unified and more amenable to systematic falsification.</w:t>
      </w:r>
    </w:p>
    <w:p>
      <w:pPr>
        <w:spacing w:after="0" w:before="80"/>
      </w:pPr>
      <w:r>
        <w:t xml:space="preserve"/>
      </w:r>
    </w:p>
    <w:p>
      <w:pPr>
        <w:spacing w:after="80" w:before="80" w:line="280"/>
        <w:jc w:val="both"/>
      </w:pPr>
      <w:r>
        <w:rPr>
          <w:rFonts w:ascii="Garamond" w:cs="Garamond" w:eastAsia="Garamond" w:hAnsi="Garamond"/>
          <w:b w:val="false"/>
          <w:bCs w:val="false"/>
          <w:i/>
          <w:iCs/>
          <w:color w:val="2C2C2C"/>
          <w:sz w:val="22"/>
          <w:szCs w:val="22"/>
        </w:rPr>
        <w:t xml:space="preserve">All results carry Charter v2.3 classification: theoretical. No simulation verification has been performed on the derived M-Law formulations.</w:t>
      </w:r>
    </w:p>
    <w:p>
      <w:pPr>
        <w:spacing w:after="0" w:before="200"/>
      </w:pPr>
      <w:r>
        <w:t xml:space="preserve"/>
      </w:r>
    </w:p>
    <w:p>
      <w:pPr>
        <w:pBdr>
          <w:bottom w:val="single" w:color="1F4E79" w:sz="3"/>
        </w:pBdr>
        <w:spacing w:after="120" w:before="120"/>
      </w:pPr>
      <w:r>
        <w:t xml:space="preserve"/>
      </w:r>
    </w:p>
    <w:p>
      <w:pPr>
        <w:spacing w:after="40" w:before="80"/>
        <w:jc w:val="center"/>
      </w:pPr>
      <w:r>
        <w:rPr>
          <w:rFonts w:ascii="Garamond" w:cs="Garamond" w:eastAsia="Garamond" w:hAnsi="Garamond"/>
          <w:i/>
          <w:iCs/>
          <w:color w:val="4A4A4A"/>
          <w:sz w:val="18"/>
          <w:szCs w:val="18"/>
        </w:rPr>
        <w:t xml:space="preserve">TN_CoreBiconditional_and_MLaws_v01  ·  Mono-Process Framework  ·  2026-05-05  ·  theoretical (Charter v2.3)</w:t>
      </w:r>
    </w:p>
    <w:sectPr>
      <w:footerReference w:type="default" r:id="rId7"/>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color w:val="888888"/>
        <w:sz w:val="18"/>
        <w:szCs w:val="18"/>
      </w:rPr>
      <w:t xml:space="preserve">MPF Theoretical Foundations  ·  </w:t>
    </w:r>
    <w:r>
      <w:rPr>
        <w:rFonts w:ascii="Garamond" w:cs="Garamond" w:eastAsia="Garamond" w:hAnsi="Garamond"/>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aramond" w:cs="Garamond" w:eastAsia="Garamond" w:hAnsi="Garamon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sz w:val="30"/>
      <w:szCs w:val="30"/>
    </w:rPr>
  </w:style>
  <w:style w:type="paragraph" w:styleId="Heading2">
    <w:name w:val="Heading 2"/>
    <w:basedOn w:val="Normal"/>
    <w:next w:val="Normal"/>
    <w:qFormat/>
    <w:pPr>
      <w:spacing w:after="80" w:before="24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2026-05-05T14:56:27.894Z</dcterms:created>
  <dcterms:modified xsi:type="dcterms:W3CDTF">2026-05-05T14:56:27.910Z</dcterms:modified>
</cp:coreProperties>
</file>

<file path=docProps/custom.xml><?xml version="1.0" encoding="utf-8"?>
<Properties xmlns="http://schemas.openxmlformats.org/officeDocument/2006/custom-properties" xmlns:vt="http://schemas.openxmlformats.org/officeDocument/2006/docPropsVTypes"/>
</file>