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echnical-note"/>
    <w:p>
      <w:pPr>
        <w:pStyle w:val="Heading1"/>
      </w:pPr>
      <w:r>
        <w:t xml:space="preserve">TECHNICAL NOTE</w:t>
      </w:r>
    </w:p>
    <w:bookmarkStart w:id="22" w:name="X9d9983d3d8445bcc21933ff9c03dc0ec9129830"/>
    <w:p>
      <w:pPr>
        <w:pStyle w:val="Heading2"/>
      </w:pPr>
      <w:r>
        <w:t xml:space="preserve">Asymmetry Ratio, Orientation Selection, and Candidate Induction Pathways</w:t>
      </w:r>
    </w:p>
    <w:bookmarkStart w:id="20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Exploratory mathematical note.</w:t>
      </w:r>
    </w:p>
    <w:bookmarkEnd w:id="20"/>
    <w:bookmarkStart w:id="21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To document the emergence of the asymmetry-ratio concept and its potential role as a bridge between relational distinction and orientation selection within the Mono-Process mathematical program.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starting-point"/>
    <w:p>
      <w:pPr>
        <w:pStyle w:val="Heading1"/>
      </w:pPr>
      <w:r>
        <w:t xml:space="preserve">1. Starting Point</w:t>
      </w:r>
    </w:p>
    <w:p>
      <w:pPr>
        <w:pStyle w:val="FirstParagraph"/>
      </w:pPr>
      <w:r>
        <w:t xml:space="preserve">The existing relational asymmetry statement is:</w:t>
      </w:r>
    </w:p>
    <w:p>
      <w:pPr>
        <w:pStyle w:val="SourceCode"/>
      </w:pPr>
      <w:r>
        <w:rPr>
          <w:rStyle w:val="VerbatimChar"/>
        </w:rPr>
        <w:t xml:space="preserve">D(S1|S2) ≠ D(S2|S1)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D(S1|S2)</w:t>
      </w:r>
    </w:p>
    <w:p>
      <w:pPr>
        <w:pStyle w:val="FirstParagraph"/>
      </w:pPr>
      <w:r>
        <w:t xml:space="preserve">represents directed distinction from S1 toward S2.</w:t>
      </w:r>
    </w:p>
    <w:p>
      <w:pPr>
        <w:pStyle w:val="BodyText"/>
      </w:pPr>
      <w:r>
        <w:t xml:space="preserve">The statement asserts that directed distinction is generally non-symmetric.</w:t>
      </w:r>
    </w:p>
    <w:p>
      <w:pPr>
        <w:pStyle w:val="BodyText"/>
      </w:pPr>
      <w:r>
        <w:t xml:space="preserve">This relation has previously functioned primarily as a descriptive expression.</w:t>
      </w:r>
    </w:p>
    <w:p>
      <w:r>
        <w:pict>
          <v:rect style="width:0;height:1.5pt" o:hralign="center" o:hrstd="t" o:hr="t"/>
        </w:pict>
      </w:r>
    </w:p>
    <w:bookmarkEnd w:id="24"/>
    <w:bookmarkStart w:id="25" w:name="ratio-construction"/>
    <w:p>
      <w:pPr>
        <w:pStyle w:val="Heading1"/>
      </w:pPr>
      <w:r>
        <w:t xml:space="preserve">2. Ratio Construction</w:t>
      </w:r>
    </w:p>
    <w:p>
      <w:pPr>
        <w:pStyle w:val="FirstParagraph"/>
      </w:pPr>
      <w:r>
        <w:t xml:space="preserve">Define:</w:t>
      </w:r>
    </w:p>
    <w:p>
      <w:pPr>
        <w:pStyle w:val="SourceCode"/>
      </w:pPr>
      <w:r>
        <w:rPr>
          <w:rStyle w:val="VerbatimChar"/>
        </w:rPr>
        <w:t xml:space="preserve">D(S1|S2) = x</w:t>
      </w:r>
      <w:r>
        <w:br/>
      </w:r>
      <w:r>
        <w:br/>
      </w:r>
      <w:r>
        <w:rPr>
          <w:rStyle w:val="VerbatimChar"/>
        </w:rPr>
        <w:t xml:space="preserve">D(S2|S1) = z</w:t>
      </w:r>
    </w:p>
    <w:p>
      <w:pPr>
        <w:pStyle w:val="FirstParagraph"/>
      </w:pPr>
      <w:r>
        <w:t xml:space="preserve">and introduce the candidate asymmetry ratio:</w:t>
      </w:r>
    </w:p>
    <w:p>
      <w:pPr>
        <w:pStyle w:val="SourceCode"/>
      </w:pPr>
      <w:r>
        <w:rPr>
          <w:rStyle w:val="VerbatimChar"/>
        </w:rPr>
        <w:t xml:space="preserve">Ω_a = x/z</w:t>
      </w:r>
    </w:p>
    <w:p>
      <w:pPr>
        <w:pStyle w:val="FirstParagraph"/>
      </w:pPr>
      <w:r>
        <w:t xml:space="preserve">or equivalently:</w:t>
      </w:r>
    </w:p>
    <w:p>
      <w:pPr>
        <w:pStyle w:val="SourceCode"/>
      </w:pPr>
      <w:r>
        <w:rPr>
          <w:rStyle w:val="VerbatimChar"/>
        </w:rPr>
        <w:t xml:space="preserve">Ω_a =</w:t>
      </w:r>
      <w:r>
        <w:br/>
      </w:r>
      <w:r>
        <w:rPr>
          <w:rStyle w:val="VerbatimChar"/>
        </w:rPr>
        <w:t xml:space="preserve">D(S1|S2)</w:t>
      </w:r>
      <w:r>
        <w:br/>
      </w:r>
      <w:r>
        <w:rPr>
          <w:rStyle w:val="VerbatimChar"/>
        </w:rPr>
        <w:t xml:space="preserve">─────────</w:t>
      </w:r>
      <w:r>
        <w:br/>
      </w:r>
      <w:r>
        <w:rPr>
          <w:rStyle w:val="VerbatimChar"/>
        </w:rPr>
        <w:t xml:space="preserve">D(S2|S1)</w:t>
      </w:r>
    </w:p>
    <w:p>
      <w:r>
        <w:pict>
          <v:rect style="width:0;height:1.5pt" o:hralign="center" o:hrstd="t" o:hr="t"/>
        </w:pict>
      </w:r>
    </w:p>
    <w:bookmarkEnd w:id="25"/>
    <w:bookmarkStart w:id="26" w:name="immediate-interpretation"/>
    <w:p>
      <w:pPr>
        <w:pStyle w:val="Heading1"/>
      </w:pPr>
      <w:r>
        <w:t xml:space="preserve">3. Immediate Interpretation</w:t>
      </w:r>
    </w:p>
    <w:p>
      <w:pPr>
        <w:pStyle w:val="FirstParagraph"/>
      </w:pPr>
      <w:r>
        <w:t xml:space="preserve">Under ordinary arithmetic:</w:t>
      </w:r>
    </w:p>
    <w:p>
      <w:pPr>
        <w:pStyle w:val="SourceCode"/>
      </w:pPr>
      <w:r>
        <w:rPr>
          <w:rStyle w:val="VerbatimChar"/>
        </w:rPr>
        <w:t xml:space="preserve">Ω_a = 1</w:t>
      </w:r>
    </w:p>
    <w:p>
      <w:pPr>
        <w:pStyle w:val="FirstParagraph"/>
      </w:pPr>
      <w:r>
        <w:t xml:space="preserve">iff</w:t>
      </w:r>
    </w:p>
    <w:p>
      <w:pPr>
        <w:pStyle w:val="SourceCode"/>
      </w:pPr>
      <w:r>
        <w:rPr>
          <w:rStyle w:val="VerbatimChar"/>
        </w:rPr>
        <w:t xml:space="preserve">D(S1|S2) = D(S2|S1)</w:t>
      </w:r>
    </w:p>
    <w:p>
      <w:pPr>
        <w:pStyle w:val="FirstParagraph"/>
      </w:pPr>
      <w:r>
        <w:t xml:space="preserve">This is a symmetry condition.</w:t>
      </w:r>
    </w:p>
    <w:p>
      <w:pPr>
        <w:pStyle w:val="BodyText"/>
      </w:pPr>
      <w:r>
        <w:t xml:space="preserve">Likewise:</w:t>
      </w:r>
    </w:p>
    <w:p>
      <w:pPr>
        <w:pStyle w:val="SourceCode"/>
      </w:pPr>
      <w:r>
        <w:rPr>
          <w:rStyle w:val="VerbatimChar"/>
        </w:rPr>
        <w:t xml:space="preserve">Ω_a &gt; 1</w:t>
      </w:r>
    </w:p>
    <w:p>
      <w:pPr>
        <w:pStyle w:val="FirstParagraph"/>
      </w:pPr>
      <w:r>
        <w:t xml:space="preserve">indicates dominance of:</w:t>
      </w:r>
    </w:p>
    <w:p>
      <w:pPr>
        <w:pStyle w:val="SourceCode"/>
      </w:pPr>
      <w:r>
        <w:rPr>
          <w:rStyle w:val="VerbatimChar"/>
        </w:rPr>
        <w:t xml:space="preserve">D(S1|S2)</w:t>
      </w:r>
    </w:p>
    <w:p>
      <w:pPr>
        <w:pStyle w:val="FirstParagraph"/>
      </w:pPr>
      <w:r>
        <w:t xml:space="preserve">while:</w:t>
      </w:r>
    </w:p>
    <w:p>
      <w:pPr>
        <w:pStyle w:val="SourceCode"/>
      </w:pPr>
      <w:r>
        <w:rPr>
          <w:rStyle w:val="VerbatimChar"/>
        </w:rPr>
        <w:t xml:space="preserve">Ω_a &lt; 1</w:t>
      </w:r>
    </w:p>
    <w:p>
      <w:pPr>
        <w:pStyle w:val="FirstParagraph"/>
      </w:pPr>
      <w:r>
        <w:t xml:space="preserve">indicates dominance of:</w:t>
      </w:r>
    </w:p>
    <w:p>
      <w:pPr>
        <w:pStyle w:val="SourceCode"/>
      </w:pPr>
      <w:r>
        <w:rPr>
          <w:rStyle w:val="VerbatimChar"/>
        </w:rPr>
        <w:t xml:space="preserve">D(S2|S1)</w:t>
      </w:r>
    </w:p>
    <w:p>
      <w:pPr>
        <w:pStyle w:val="FirstParagraph"/>
      </w:pPr>
      <w:r>
        <w:t xml:space="preserve">At this stage Ω_a functions only as a measurement.</w:t>
      </w:r>
    </w:p>
    <w:p>
      <w:pPr>
        <w:pStyle w:val="BodyText"/>
      </w:pPr>
      <w:r>
        <w:t xml:space="preserve">No generative role has yet been established.</w:t>
      </w:r>
    </w:p>
    <w:p>
      <w:r>
        <w:pict>
          <v:rect style="width:0;height:1.5pt" o:hralign="center" o:hrstd="t" o:hr="t"/>
        </w:pict>
      </w:r>
    </w:p>
    <w:bookmarkEnd w:id="26"/>
    <w:bookmarkStart w:id="29" w:name="critical-insight"/>
    <w:p>
      <w:pPr>
        <w:pStyle w:val="Heading1"/>
      </w:pPr>
      <w:r>
        <w:t xml:space="preserve">4. Critical Insight</w:t>
      </w:r>
    </w:p>
    <w:p>
      <w:pPr>
        <w:pStyle w:val="FirstParagraph"/>
      </w:pPr>
      <w:r>
        <w:t xml:space="preserve">The discussion revealed a distinction between:</w:t>
      </w:r>
    </w:p>
    <w:bookmarkStart w:id="27" w:name="measurement"/>
    <w:p>
      <w:pPr>
        <w:pStyle w:val="Heading3"/>
      </w:pPr>
      <w:r>
        <w:t xml:space="preserve">Measurement</w:t>
      </w:r>
    </w:p>
    <w:p>
      <w:pPr>
        <w:pStyle w:val="SourceCode"/>
      </w:pPr>
      <w:r>
        <w:rPr>
          <w:rStyle w:val="VerbatimChar"/>
        </w:rPr>
        <w:t xml:space="preserve">D(S1|S2) ≠ D(S2|S1)</w:t>
      </w:r>
    </w:p>
    <w:p>
      <w:pPr>
        <w:pStyle w:val="FirstParagraph"/>
      </w:pPr>
      <w:r>
        <w:t xml:space="preserve">and</w:t>
      </w:r>
    </w:p>
    <w:bookmarkEnd w:id="27"/>
    <w:bookmarkStart w:id="28" w:name="principle"/>
    <w:p>
      <w:pPr>
        <w:pStyle w:val="Heading3"/>
      </w:pPr>
      <w:r>
        <w:t xml:space="preserve">Principle</w:t>
      </w:r>
    </w:p>
    <w:p>
      <w:pPr>
        <w:pStyle w:val="SourceCode"/>
      </w:pPr>
      <w:r>
        <w:rPr>
          <w:rStyle w:val="VerbatimChar"/>
        </w:rPr>
        <w:t xml:space="preserve">Asymmetry</w:t>
      </w:r>
      <w:r>
        <w:br/>
      </w:r>
      <w:r>
        <w:rPr>
          <w:rStyle w:val="VerbatimChar"/>
        </w:rPr>
        <w:t xml:space="preserve">⇒</w:t>
      </w:r>
      <w:r>
        <w:br/>
      </w:r>
      <w:r>
        <w:rPr>
          <w:rStyle w:val="VerbatimChar"/>
        </w:rPr>
        <w:t xml:space="preserve">Orientation</w:t>
      </w:r>
    </w:p>
    <w:p>
      <w:pPr>
        <w:pStyle w:val="FirstParagraph"/>
      </w:pPr>
      <w:r>
        <w:t xml:space="preserve">The current framework lacks an explicit mathematical bridge between these levels.</w:t>
      </w:r>
    </w:p>
    <w:p>
      <w:pPr>
        <w:pStyle w:val="BodyText"/>
      </w:pPr>
      <w:r>
        <w:t xml:space="preserve">This bridge appears to be a missing component of the operator hierarchy.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symmetry-as-generative-principle"/>
    <w:p>
      <w:pPr>
        <w:pStyle w:val="Heading1"/>
      </w:pPr>
      <w:r>
        <w:t xml:space="preserve">5. Asymmetry as Generative Principle</w:t>
      </w:r>
    </w:p>
    <w:p>
      <w:pPr>
        <w:pStyle w:val="FirstParagraph"/>
      </w:pPr>
      <w:r>
        <w:t xml:space="preserve">A candidate interpretation emerged:</w:t>
      </w:r>
    </w:p>
    <w:p>
      <w:pPr>
        <w:pStyle w:val="SourceCode"/>
      </w:pPr>
      <w:r>
        <w:rPr>
          <w:rStyle w:val="VerbatimChar"/>
        </w:rPr>
        <w:t xml:space="preserve">Symmetry</w:t>
      </w:r>
      <w:r>
        <w:br/>
      </w:r>
      <w:r>
        <w:rPr>
          <w:rStyle w:val="VerbatimChar"/>
        </w:rPr>
        <w:t xml:space="preserve">→ no intrinsic orientation selection</w:t>
      </w:r>
      <w:r>
        <w:br/>
      </w:r>
      <w:r>
        <w:br/>
      </w:r>
      <w:r>
        <w:rPr>
          <w:rStyle w:val="VerbatimChar"/>
        </w:rPr>
        <w:t xml:space="preserve">Asymmetry</w:t>
      </w:r>
      <w:r>
        <w:br/>
      </w:r>
      <w:r>
        <w:rPr>
          <w:rStyle w:val="VerbatimChar"/>
        </w:rPr>
        <w:t xml:space="preserve">→ orientation selection</w:t>
      </w:r>
    </w:p>
    <w:p>
      <w:pPr>
        <w:pStyle w:val="FirstParagraph"/>
      </w:pPr>
      <w:r>
        <w:t xml:space="preserve">Under this interpretation:</w:t>
      </w:r>
    </w:p>
    <w:p>
      <w:pPr>
        <w:pStyle w:val="SourceCode"/>
      </w:pPr>
      <w:r>
        <w:rPr>
          <w:rStyle w:val="VerbatimChar"/>
        </w:rPr>
        <w:t xml:space="preserve">D(S1|S2) ≠ D(S2|S1)</w:t>
      </w:r>
    </w:p>
    <w:p>
      <w:pPr>
        <w:pStyle w:val="FirstParagraph"/>
      </w:pPr>
      <w:r>
        <w:t xml:space="preserve">is not merely descriptive.</w:t>
      </w:r>
    </w:p>
    <w:p>
      <w:pPr>
        <w:pStyle w:val="BodyText"/>
      </w:pPr>
      <w:r>
        <w:t xml:space="preserve">Instead it becomes a source of admissible preference.</w:t>
      </w:r>
    </w:p>
    <w:p>
      <w:pPr>
        <w:pStyle w:val="BodyText"/>
      </w:pPr>
      <w:r>
        <w:t xml:space="preserve">The proposed hierarchy becomes:</w:t>
      </w:r>
    </w:p>
    <w:p>
      <w:pPr>
        <w:pStyle w:val="SourceCode"/>
      </w:pPr>
      <w:r>
        <w:rPr>
          <w:rStyle w:val="VerbatimChar"/>
        </w:rPr>
        <w:t xml:space="preserve">Distinction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Asymmetry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Orientation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Admissibility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Continuation</w:t>
      </w:r>
    </w:p>
    <w:p>
      <w:r>
        <w:pict>
          <v:rect style="width:0;height:1.5pt" o:hralign="center" o:hrstd="t" o:hr="t"/>
        </w:pict>
      </w:r>
    </w:p>
    <w:bookmarkEnd w:id="30"/>
    <w:bookmarkStart w:id="31" w:name="candidate-bridge-problem"/>
    <w:p>
      <w:pPr>
        <w:pStyle w:val="Heading1"/>
      </w:pPr>
      <w:r>
        <w:t xml:space="preserve">6. Candidate Bridge Problem</w:t>
      </w:r>
    </w:p>
    <w:p>
      <w:pPr>
        <w:pStyle w:val="FirstParagraph"/>
      </w:pPr>
      <w:r>
        <w:t xml:space="preserve">A formal mechanism is required to move from:</w:t>
      </w:r>
    </w:p>
    <w:p>
      <w:pPr>
        <w:pStyle w:val="SourceCode"/>
      </w:pPr>
      <w:r>
        <w:rPr>
          <w:rStyle w:val="VerbatimChar"/>
        </w:rPr>
        <w:t xml:space="preserve">D(S1|S2) ≠ D(S2|S1)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-(i)</w:t>
      </w:r>
    </w:p>
    <w:p>
      <w:pPr>
        <w:pStyle w:val="FirstParagraph"/>
      </w:pPr>
      <w:r>
        <w:t xml:space="preserve">Current status:</w:t>
      </w:r>
    </w:p>
    <w:p>
      <w:pPr>
        <w:pStyle w:val="SourceCode"/>
      </w:pPr>
      <w:r>
        <w:rPr>
          <w:rStyle w:val="VerbatimChar"/>
        </w:rPr>
        <w:t xml:space="preserve">Distinction</w:t>
      </w:r>
      <w:r>
        <w:br/>
      </w:r>
      <w:r>
        <w:rPr>
          <w:rStyle w:val="VerbatimChar"/>
        </w:rPr>
        <w:t xml:space="preserve">      ?</w:t>
      </w:r>
      <w:r>
        <w:br/>
      </w:r>
      <w:r>
        <w:rPr>
          <w:rStyle w:val="VerbatimChar"/>
        </w:rPr>
        <w:t xml:space="preserve">Orientation</w:t>
      </w:r>
    </w:p>
    <w:p>
      <w:pPr>
        <w:pStyle w:val="FirstParagraph"/>
      </w:pPr>
      <w:r>
        <w:t xml:space="preserve">The bridge operator remains undefined.</w:t>
      </w:r>
    </w:p>
    <w:p>
      <w:pPr>
        <w:pStyle w:val="BodyText"/>
      </w:pPr>
      <w:r>
        <w:t xml:space="preserve">Potential future induction target:</w:t>
      </w:r>
    </w:p>
    <w:p>
      <w:pPr>
        <w:pStyle w:val="SourceCode"/>
      </w:pPr>
      <w:r>
        <w:rPr>
          <w:rStyle w:val="VerbatimChar"/>
        </w:rPr>
        <w:t xml:space="preserve">D(S1|S2) ≠ D(S2|S1)</w:t>
      </w:r>
      <w:r>
        <w:br/>
      </w:r>
      <w:r>
        <w:rPr>
          <w:rStyle w:val="VerbatimChar"/>
        </w:rPr>
        <w:t xml:space="preserve">⇒_?</w:t>
      </w:r>
      <w:r>
        <w:br/>
      </w:r>
      <w:r>
        <w:rPr>
          <w:rStyle w:val="VerbatimChar"/>
        </w:rPr>
        <w:t xml:space="preserve">-(i)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⇒_?</w:t>
      </w:r>
    </w:p>
    <w:p>
      <w:pPr>
        <w:pStyle w:val="FirstParagraph"/>
      </w:pPr>
      <w:r>
        <w:t xml:space="preserve">represents an asymmetry-induced orientation operator.</w:t>
      </w:r>
    </w:p>
    <w:p>
      <w:r>
        <w:pict>
          <v:rect style="width:0;height:1.5pt" o:hralign="center" o:hrstd="t" o:hr="t"/>
        </w:pict>
      </w:r>
    </w:p>
    <w:bookmarkEnd w:id="31"/>
    <w:bookmarkStart w:id="32" w:name="floor-interaction"/>
    <w:p>
      <w:pPr>
        <w:pStyle w:val="Heading1"/>
      </w:pPr>
      <w:r>
        <w:t xml:space="preserve">7. Floor Interaction</w:t>
      </w:r>
    </w:p>
    <w:p>
      <w:pPr>
        <w:pStyle w:val="FirstParagraph"/>
      </w:pPr>
      <w:r>
        <w:t xml:space="preserve">The asymmetry-ratio discussion naturally connected to the floor concept.</w:t>
      </w:r>
    </w:p>
    <w:p>
      <w:pPr>
        <w:pStyle w:val="BodyText"/>
      </w:pPr>
      <w:r>
        <w:t xml:space="preserve">Assume:</w:t>
      </w:r>
    </w:p>
    <w:p>
      <w:pPr>
        <w:pStyle w:val="SourceCode"/>
      </w:pPr>
      <w:r>
        <w:rPr>
          <w:rStyle w:val="VerbatimChar"/>
        </w:rPr>
        <w:t xml:space="preserve">D(S1|S2) ≥ ε</w:t>
      </w:r>
      <w:r>
        <w:br/>
      </w:r>
      <w:r>
        <w:br/>
      </w:r>
      <w:r>
        <w:rPr>
          <w:rStyle w:val="VerbatimChar"/>
        </w:rPr>
        <w:t xml:space="preserve">D(S2|S1) ≥ ε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ε &gt; 0</w:t>
      </w:r>
    </w:p>
    <w:p>
      <w:pPr>
        <w:pStyle w:val="FirstParagraph"/>
      </w:pPr>
      <w:r>
        <w:t xml:space="preserve">is the minimum distinguishability floor.</w:t>
      </w:r>
    </w:p>
    <w:p>
      <w:pPr>
        <w:pStyle w:val="BodyText"/>
      </w:pPr>
      <w:r>
        <w:t xml:space="preserve">Without a floor:</w:t>
      </w:r>
    </w:p>
    <w:p>
      <w:pPr>
        <w:pStyle w:val="SourceCode"/>
      </w:pPr>
      <w:r>
        <w:rPr>
          <w:rStyle w:val="VerbatimChar"/>
        </w:rPr>
        <w:t xml:space="preserve">D(S2|S1) = 0</w:t>
      </w:r>
    </w:p>
    <w:p>
      <w:pPr>
        <w:pStyle w:val="FirstParagraph"/>
      </w:pPr>
      <w:r>
        <w:t xml:space="preserve">permits:</w:t>
      </w:r>
    </w:p>
    <w:p>
      <w:pPr>
        <w:pStyle w:val="SourceCode"/>
      </w:pPr>
      <w:r>
        <w:rPr>
          <w:rStyle w:val="VerbatimChar"/>
        </w:rPr>
        <w:t xml:space="preserve">Ω_a → ∞</w:t>
      </w:r>
    </w:p>
    <w:p>
      <w:pPr>
        <w:pStyle w:val="FirstParagraph"/>
      </w:pPr>
      <w:r>
        <w:t xml:space="preserve">producing singular orientation behavior.</w:t>
      </w:r>
    </w:p>
    <w:p>
      <w:pPr>
        <w:pStyle w:val="BodyText"/>
      </w:pPr>
      <w:r>
        <w:t xml:space="preserve">With a floor:</w:t>
      </w:r>
    </w:p>
    <w:p>
      <w:pPr>
        <w:pStyle w:val="SourceCode"/>
      </w:pPr>
      <w:r>
        <w:rPr>
          <w:rStyle w:val="VerbatimChar"/>
        </w:rPr>
        <w:t xml:space="preserve">D ≥ ε</w:t>
      </w:r>
    </w:p>
    <w:p>
      <w:pPr>
        <w:pStyle w:val="FirstParagraph"/>
      </w:pPr>
      <w:r>
        <w:t xml:space="preserve">the ratio remains bounded.</w:t>
      </w:r>
    </w:p>
    <w:p>
      <w:pPr>
        <w:pStyle w:val="BodyText"/>
      </w:pPr>
      <w:r>
        <w:t xml:space="preserve">Proposed consequence:</w:t>
      </w:r>
    </w:p>
    <w:p>
      <w:pPr>
        <w:pStyle w:val="SourceCode"/>
      </w:pPr>
      <w:r>
        <w:rPr>
          <w:rStyle w:val="VerbatimChar"/>
        </w:rPr>
        <w:t xml:space="preserve">ε</w:t>
      </w:r>
      <w:r>
        <w:br/>
      </w:r>
      <w:r>
        <w:rPr>
          <w:rStyle w:val="VerbatimChar"/>
        </w:rPr>
        <w:t xml:space="preserve">→ bounds D</w:t>
      </w:r>
      <w:r>
        <w:br/>
      </w:r>
      <w:r>
        <w:rPr>
          <w:rStyle w:val="VerbatimChar"/>
        </w:rPr>
        <w:t xml:space="preserve">→ bounds Ω_a</w:t>
      </w:r>
      <w:r>
        <w:br/>
      </w:r>
      <w:r>
        <w:rPr>
          <w:rStyle w:val="VerbatimChar"/>
        </w:rPr>
        <w:t xml:space="preserve">→ bounds orientation geometry</w:t>
      </w:r>
    </w:p>
    <w:p>
      <w:pPr>
        <w:pStyle w:val="FirstParagraph"/>
      </w:pPr>
      <w:r>
        <w:t xml:space="preserve">This suggests a possible role for the floor as a regulator of orientation selection.</w:t>
      </w:r>
    </w:p>
    <w:p>
      <w:r>
        <w:pict>
          <v:rect style="width:0;height:1.5pt" o:hralign="center" o:hrstd="t" o:hr="t"/>
        </w:pict>
      </w:r>
    </w:p>
    <w:bookmarkEnd w:id="32"/>
    <w:bookmarkStart w:id="33" w:name="orientation-sequence-refinement"/>
    <w:p>
      <w:pPr>
        <w:pStyle w:val="Heading1"/>
      </w:pPr>
      <w:r>
        <w:t xml:space="preserve">8. Orientation Sequence Refinement</w:t>
      </w:r>
    </w:p>
    <w:p>
      <w:pPr>
        <w:pStyle w:val="FirstParagraph"/>
      </w:pPr>
      <w:r>
        <w:t xml:space="preserve">The discussion also clarified that:</w:t>
      </w:r>
    </w:p>
    <w:p>
      <w:pPr>
        <w:pStyle w:val="SourceCode"/>
      </w:pPr>
      <w:r>
        <w:rPr>
          <w:rStyle w:val="VerbatimChar"/>
        </w:rPr>
        <w:t xml:space="preserve">-(i)+1</w:t>
      </w:r>
    </w:p>
    <w:p>
      <w:pPr>
        <w:pStyle w:val="FirstParagraph"/>
      </w:pPr>
      <w:r>
        <w:t xml:space="preserve">should not be interpreted as temporal succession.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-(i)+1</w:t>
      </w:r>
    </w:p>
    <w:p>
      <w:pPr>
        <w:pStyle w:val="FirstParagraph"/>
      </w:pPr>
      <w:r>
        <w:t xml:space="preserve">means:</w:t>
      </w:r>
    </w:p>
    <w:p>
      <w:pPr>
        <w:pStyle w:val="BlockText"/>
      </w:pPr>
      <w:r>
        <w:t xml:space="preserve">next admissible orientation reference.</w:t>
      </w:r>
    </w:p>
    <w:p>
      <w:pPr>
        <w:pStyle w:val="FirstParagraph"/>
      </w:pPr>
      <w:r>
        <w:t xml:space="preserve">Thus:</w:t>
      </w:r>
    </w:p>
    <w:p>
      <w:pPr>
        <w:pStyle w:val="SourceCode"/>
      </w:pPr>
      <w:r>
        <w:rPr>
          <w:rStyle w:val="VerbatimChar"/>
        </w:rPr>
        <w:t xml:space="preserve">D(S1|S2)@-(i₀)</w:t>
      </w:r>
      <w:r>
        <w:br/>
      </w:r>
      <w:r>
        <w:rPr>
          <w:rStyle w:val="VerbatimChar"/>
        </w:rPr>
        <w:t xml:space="preserve">→_a</w:t>
      </w:r>
      <w:r>
        <w:br/>
      </w:r>
      <w:r>
        <w:rPr>
          <w:rStyle w:val="VerbatimChar"/>
        </w:rPr>
        <w:t xml:space="preserve">D(S1|S2)@-(i₁)</w:t>
      </w:r>
      <w:r>
        <w:br/>
      </w:r>
      <w:r>
        <w:rPr>
          <w:rStyle w:val="VerbatimChar"/>
        </w:rPr>
        <w:t xml:space="preserve">→_a</w:t>
      </w:r>
      <w:r>
        <w:br/>
      </w:r>
      <w:r>
        <w:rPr>
          <w:rStyle w:val="VerbatimChar"/>
        </w:rPr>
        <w:t xml:space="preserve">D(S1|S2)@-(i₂)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represents an admissible orientation chain rather than a time chain.</w:t>
      </w:r>
    </w:p>
    <w:p>
      <w:r>
        <w:pict>
          <v:rect style="width:0;height:1.5pt" o:hralign="center" o:hrstd="t" o:hr="t"/>
        </w:pict>
      </w:r>
    </w:p>
    <w:bookmarkEnd w:id="33"/>
    <w:bookmarkStart w:id="34" w:name="current-assessment"/>
    <w:p>
      <w:pPr>
        <w:pStyle w:val="Heading1"/>
      </w:pPr>
      <w:r>
        <w:t xml:space="preserve">9. Current Assessment</w:t>
      </w:r>
    </w:p>
    <w:p>
      <w:pPr>
        <w:pStyle w:val="FirstParagraph"/>
      </w:pPr>
      <w:r>
        <w:t xml:space="preserve">Established:</w:t>
      </w:r>
    </w:p>
    <w:p>
      <w:pPr>
        <w:pStyle w:val="SourceCode"/>
      </w:pPr>
      <w:r>
        <w:rPr>
          <w:rStyle w:val="VerbatimChar"/>
        </w:rPr>
        <w:t xml:space="preserve">Ω_a =</w:t>
      </w:r>
      <w:r>
        <w:br/>
      </w:r>
      <w:r>
        <w:rPr>
          <w:rStyle w:val="VerbatimChar"/>
        </w:rPr>
        <w:t xml:space="preserve">D(S1|S2)</w:t>
      </w:r>
      <w:r>
        <w:br/>
      </w:r>
      <w:r>
        <w:rPr>
          <w:rStyle w:val="VerbatimChar"/>
        </w:rPr>
        <w:t xml:space="preserve">/ D(S2|S1)</w:t>
      </w:r>
    </w:p>
    <w:p>
      <w:pPr>
        <w:pStyle w:val="FirstParagraph"/>
      </w:pPr>
      <w:r>
        <w:t xml:space="preserve">is a valid asymmetry metric.</w:t>
      </w:r>
    </w:p>
    <w:p>
      <w:pPr>
        <w:pStyle w:val="BodyText"/>
      </w:pPr>
      <w:r>
        <w:t xml:space="preserve">Supported:</w:t>
      </w:r>
    </w:p>
    <w:p>
      <w:pPr>
        <w:pStyle w:val="SourceCode"/>
      </w:pPr>
      <w:r>
        <w:rPr>
          <w:rStyle w:val="VerbatimChar"/>
        </w:rPr>
        <w:t xml:space="preserve">Ω_a = 1</w:t>
      </w:r>
    </w:p>
    <w:p>
      <w:pPr>
        <w:pStyle w:val="FirstParagraph"/>
      </w:pPr>
      <w:r>
        <w:t xml:space="preserve">corresponds to directional symmetry.</w:t>
      </w:r>
    </w:p>
    <w:p>
      <w:pPr>
        <w:pStyle w:val="BodyText"/>
      </w:pPr>
      <w:r>
        <w:t xml:space="preserve">Hypothesized:</w:t>
      </w:r>
    </w:p>
    <w:p>
      <w:pPr>
        <w:pStyle w:val="SourceCode"/>
      </w:pPr>
      <w:r>
        <w:rPr>
          <w:rStyle w:val="VerbatimChar"/>
        </w:rPr>
        <w:t xml:space="preserve">Ω_a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orientation selection</w:t>
      </w:r>
    </w:p>
    <w:p>
      <w:pPr>
        <w:pStyle w:val="FirstParagraph"/>
      </w:pPr>
      <w:r>
        <w:t xml:space="preserve">Unresolved:</w:t>
      </w:r>
    </w:p>
    <w:p>
      <w:pPr>
        <w:pStyle w:val="SourceCode"/>
      </w:pPr>
      <w:r>
        <w:rPr>
          <w:rStyle w:val="VerbatimChar"/>
        </w:rPr>
        <w:t xml:space="preserve">D(S1|S2) ≠ D(S2|S1)</w:t>
      </w:r>
      <w:r>
        <w:br/>
      </w:r>
      <w:r>
        <w:rPr>
          <w:rStyle w:val="VerbatimChar"/>
        </w:rPr>
        <w:t xml:space="preserve">⇒</w:t>
      </w:r>
      <w:r>
        <w:br/>
      </w:r>
      <w:r>
        <w:rPr>
          <w:rStyle w:val="VerbatimChar"/>
        </w:rPr>
        <w:t xml:space="preserve">-(i)</w:t>
      </w:r>
    </w:p>
    <w:p>
      <w:pPr>
        <w:pStyle w:val="FirstParagraph"/>
      </w:pPr>
      <w:r>
        <w:t xml:space="preserve">The operator that performs this induction remains an open problem.</w:t>
      </w:r>
    </w:p>
    <w:p>
      <w:r>
        <w:pict>
          <v:rect style="width:0;height:1.5pt" o:hralign="center" o:hrstd="t" o:hr="t"/>
        </w:pict>
      </w:r>
    </w:p>
    <w:bookmarkEnd w:id="34"/>
    <w:bookmarkStart w:id="35" w:name="candidate-research-direction"/>
    <w:p>
      <w:pPr>
        <w:pStyle w:val="Heading1"/>
      </w:pPr>
      <w:r>
        <w:t xml:space="preserve">10. Candidate Research Direction</w:t>
      </w:r>
    </w:p>
    <w:p>
      <w:pPr>
        <w:pStyle w:val="FirstParagraph"/>
      </w:pPr>
      <w:r>
        <w:t xml:space="preserve">The most promising outcome of this discussion is not the ratio itself.</w:t>
      </w:r>
    </w:p>
    <w:p>
      <w:pPr>
        <w:pStyle w:val="BodyText"/>
      </w:pPr>
      <w:r>
        <w:t xml:space="preserve">The important possibility is:</w:t>
      </w:r>
    </w:p>
    <w:p>
      <w:pPr>
        <w:pStyle w:val="SourceCode"/>
      </w:pPr>
      <w:r>
        <w:rPr>
          <w:rStyle w:val="VerbatimChar"/>
        </w:rPr>
        <w:t xml:space="preserve">Distinction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Asymmetry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Orientation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Admissibility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Continuation</w:t>
      </w:r>
    </w:p>
    <w:p>
      <w:pPr>
        <w:pStyle w:val="FirstParagraph"/>
      </w:pPr>
      <w:r>
        <w:t xml:space="preserve">If formalized, this would provide the first explicit mathematical pathway connecting relational distinction to orientation selection within the Mono-Process framework.</w:t>
      </w:r>
    </w:p>
    <w:p>
      <w:pPr>
        <w:pStyle w:val="BodyText"/>
      </w:pPr>
      <w:r>
        <w:t xml:space="preserve">End of Note.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2026-05-29T19:12:16Z</dcterms:created>
  <dcterms:modified xsi:type="dcterms:W3CDTF">2026-05-29T19:12:16Z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