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60" w:before="0" w:line="276"/>
        <w:jc w:val="center"/>
      </w:pPr>
      <w:r>
        <w:rPr>
          <w:rFonts w:ascii="Times New Roman" w:cs="Times New Roman" w:eastAsia="Times New Roman" w:hAnsi="Times New Roman"/>
          <w:b/>
          <w:bCs/>
          <w:i w:val="false"/>
          <w:iCs w:val="false"/>
          <w:color w:val="000000"/>
          <w:sz w:val="36"/>
          <w:szCs w:val="36"/>
        </w:rPr>
        <w:t xml:space="preserve">Orientation-Accelerated Phase Packet Emergence</w:t>
      </w:r>
    </w:p>
    <w:p>
      <w:pPr>
        <w:spacing w:after="200" w:before="0" w:line="276"/>
        <w:jc w:val="center"/>
      </w:pPr>
      <w:r>
        <w:rPr>
          <w:rFonts w:ascii="Times New Roman" w:cs="Times New Roman" w:eastAsia="Times New Roman" w:hAnsi="Times New Roman"/>
          <w:b w:val="false"/>
          <w:bCs w:val="false"/>
          <w:i/>
          <w:iCs/>
          <w:color w:val="000000"/>
          <w:sz w:val="26"/>
          <w:szCs w:val="26"/>
        </w:rPr>
        <w:t xml:space="preserve">Symmetry-Breaking in Multi-Mechanism Coupled Process Systems</w:t>
      </w:r>
    </w:p>
    <w:p>
      <w:pPr>
        <w:pBdr>
          <w:bottom w:val="single" w:color="2E5FA3" w:sz="6" w:space="1"/>
        </w:pBdr>
        <w:spacing w:after="120" w:before="120"/>
      </w:pPr>
      <w:r>
        <w:t xml:space="preserve"/>
      </w:r>
    </w:p>
    <w:p>
      <w:pPr>
        <w:spacing w:after="80" w:before="0" w:line="276"/>
        <w:jc w:val="center"/>
      </w:pPr>
      <w:r>
        <w:rPr>
          <w:rFonts w:ascii="Times New Roman" w:cs="Times New Roman" w:eastAsia="Times New Roman" w:hAnsi="Times New Roman"/>
          <w:b/>
          <w:bCs/>
          <w:i w:val="false"/>
          <w:iCs w:val="false"/>
          <w:color w:val="000000"/>
          <w:sz w:val="24"/>
          <w:szCs w:val="24"/>
        </w:rPr>
        <w:t xml:space="preserve">James Hoskins</w:t>
      </w:r>
      <w:r>
        <w:rPr>
          <w:rFonts w:ascii="Times New Roman" w:cs="Times New Roman" w:eastAsia="Times New Roman" w:hAnsi="Times New Roman"/>
          <w:b w:val="false"/>
          <w:bCs w:val="false"/>
          <w:i w:val="false"/>
          <w:iCs w:val="false"/>
          <w:color w:val="000000"/>
          <w:sz w:val="24"/>
          <w:szCs w:val="24"/>
        </w:rPr>
        <w:t xml:space="preserve">   |   Independent Theoretical Research, Fort Wayne, Indiana</w:t>
      </w:r>
    </w:p>
    <w:p>
      <w:pPr>
        <w:spacing w:after="80" w:before="0" w:line="276"/>
        <w:jc w:val="center"/>
      </w:pPr>
      <w:r>
        <w:rPr>
          <w:rFonts w:ascii="Times New Roman" w:cs="Times New Roman" w:eastAsia="Times New Roman" w:hAnsi="Times New Roman"/>
          <w:b w:val="false"/>
          <w:bCs w:val="false"/>
          <w:i w:val="false"/>
          <w:iCs w:val="false"/>
          <w:color w:val="000000"/>
          <w:sz w:val="24"/>
          <w:szCs w:val="24"/>
        </w:rPr>
        <w:t xml:space="preserve">Mono-Process Framework (MPF) Technical Series   |   Submitted: May 2026</w:t>
      </w:r>
    </w:p>
    <w:p>
      <w:pPr>
        <w:spacing w:after="200" w:before="0" w:line="276"/>
        <w:jc w:val="center"/>
      </w:pPr>
      <w:r>
        <w:rPr>
          <w:rFonts w:ascii="Times New Roman" w:cs="Times New Roman" w:eastAsia="Times New Roman" w:hAnsi="Times New Roman"/>
          <w:b w:val="false"/>
          <w:bCs w:val="false"/>
          <w:i w:val="false"/>
          <w:iCs w:val="false"/>
          <w:color w:val="000000"/>
          <w:sz w:val="24"/>
          <w:szCs w:val="24"/>
        </w:rPr>
        <w:t xml:space="preserve">License: CC-BY 4.0   |   Data: </w:t>
      </w:r>
      <w:r>
        <w:rPr>
          <w:rFonts w:ascii="Times New Roman" w:cs="Times New Roman" w:eastAsia="Times New Roman" w:hAnsi="Times New Roman"/>
          <w:b w:val="false"/>
          <w:bCs w:val="false"/>
          <w:i/>
          <w:iCs/>
          <w:color w:val="000000"/>
          <w:sz w:val="24"/>
          <w:szCs w:val="24"/>
        </w:rPr>
        <w:t xml:space="preserve">github.com/acellorator</w:t>
      </w:r>
      <w:r>
        <w:rPr>
          <w:rFonts w:ascii="Times New Roman" w:cs="Times New Roman" w:eastAsia="Times New Roman" w:hAnsi="Times New Roman"/>
          <w:b w:val="false"/>
          <w:bCs w:val="false"/>
          <w:i w:val="false"/>
          <w:iCs w:val="false"/>
          <w:color w:val="000000"/>
          <w:sz w:val="24"/>
          <w:szCs w:val="24"/>
        </w:rPr>
        <w:t xml:space="preserve"> (May 2026 release tag)</w:t>
      </w:r>
    </w:p>
    <w:p>
      <w:pPr>
        <w:pBdr>
          <w:bottom w:val="single" w:color="2E5FA3" w:sz="6" w:space="1"/>
        </w:pBdr>
        <w:spacing w:after="120" w:before="120"/>
      </w:pPr>
      <w:r>
        <w:t xml:space="preserve"/>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Abstract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paper investigates the role of the Orientation operator −(i) in accelerating the emergence of structural identity—termed Phase Packets—within coupled multi-mechanism systems. The Law of the One Process (MPF) posits that all structure emerges from admissible continuation under nonzero mismatch; the present work tests whether Orientation, operationalized as local interaction coupling, reduces the critical threshold at which such structure appears.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Using high-performance C++ simulation engines (AVX2/OpenMP/SYCL), we demonstrate that increasing coupling strength triggers a sharp phase transition from disordered mismatch (SS2) to coherent phase locking (SS3). Evidence from a spatial agent-based model, a ring oscillator model, and an independent spectral measurement layer jointly support the hypothesis. The agent-based model exhibits a pronounced non-linear transition at K = 2.0, reaching a mean order parameter of 0.4498. Spectral analysis independently confirms the temporal stability of the emergent structure. The Kuramoto ring, subject to topological damping at N = 10000, maintains directional agreement with the agent model but does not reproduce the sharp transition, consistent with known constraints of 1D ring coupling.</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1. Introduction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 central problem in process-theoretic frameworks is explaining how discrete, stable structural identities emerge from a continuous background of relational activity. Within the Law of the One Process (Hoskins, MPF Series), the system is governed by a primitive constraint—nonzero mismatch (ε ≠ 0)—from which all structure must be derived. Prior work in this series established that: (i) realized mismatch is strictly contingent on a prior admissibility margin [1]; (ii) residue accumulation actively maintains a non-zero mismatch floor [2]; (iii) Phase Packet identity requires non-zero residue writing rate [3]; and (iv) identity emergence is governed by a joint critical manifold θ_crit of coupling and residue rate [4].</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What remained open was whether the Orientation operator −(i)—derived in [5] as the admissible mismatch-minimizing selection operator—actively reduces θ_crit, accelerating Phase Packet emergence. This paper reports the empirical test of that hypothesis across two independent simulation mechanisms and one independent measurement layer.</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2. Theoretical Background</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Law of the One Process framework (MPF) treats process as the primitive ontological category, with structure emerging from admissible continuation under nonzero mismatch. The following canonical variables govern the framework:</w:t>
      </w:r>
    </w:p>
    <w:p>
      <w:pPr>
        <w:spacing w:after="0" w:before="60"/>
      </w:pPr>
      <w:r>
        <w:t xml:space="preserve"/>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Epsilon (ε): Local phase mismatch between system components. Represents the degree of non-symmetry at any locus.</w:t>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Residue (R): Accumulated historical alignment; the system’s structural trace that modulates future admissibility.</w:t>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Rho (ρ): System density, held fixed in these experiments to isolate coupling effects.</w:t>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Coupling (K): Interaction strength; the experimental variable operationalizing Orientation.</w:t>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Orientation (−(i)): The coupling-induced bias toward local alignment. Derived in [5] as an admissible selection operator over local mismatch: O*(x,t) ∈ argmin₀ ∈ ᴺ_adm μ_rel(O · ε(x,t)).</w:t>
      </w:r>
    </w:p>
    <w:p>
      <w:pPr>
        <w:spacing w:after="0" w:before="80"/>
      </w:pPr>
      <w:r>
        <w:t xml:space="preserve"/>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key theoretical claim, grounded in [5], is that −(i) is not a primitive input but an emergent selection rule forced by mismatch under nonzero continuation. Increasing K expands the effective admissible operator set available to each system component, lowering the cost threshold for O* selection and thereby accelerating the convergence of local references into a coherent packet.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Phase Packets (SS3) are operationally defined as regions of sustained coherent phase locking, distinguished from the disordered mismatch floor (SS2) by both dynamical order parameter and independent spectral signature.</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3. Experimental Setup</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Two independent dynamics engines and one independent measurement layer were employed:</w:t>
      </w:r>
    </w:p>
    <w:p>
      <w:pPr>
        <w:spacing w:after="0" w:before="60"/>
      </w:pPr>
      <w:r>
        <w:t xml:space="preserve"/>
      </w:r>
    </w:p>
    <w:p>
      <w:pPr>
        <w:spacing w:after="80" w:before="0" w:line="276"/>
        <w:jc w:val="both"/>
      </w:pPr>
      <w:r>
        <w:rPr>
          <w:rFonts w:ascii="Times New Roman" w:cs="Times New Roman" w:eastAsia="Times New Roman" w:hAnsi="Times New Roman"/>
          <w:b/>
          <w:bCs/>
          <w:i w:val="false"/>
          <w:iCs w:val="false"/>
          <w:color w:val="000000"/>
          <w:sz w:val="24"/>
          <w:szCs w:val="24"/>
        </w:rPr>
        <w:t xml:space="preserve">Mechanism 1 — Agent-Based Model (ABM): </w:t>
      </w:r>
      <w:r>
        <w:rPr>
          <w:rFonts w:ascii="Times New Roman" w:cs="Times New Roman" w:eastAsia="Times New Roman" w:hAnsi="Times New Roman"/>
          <w:b w:val="false"/>
          <w:bCs w:val="false"/>
          <w:i w:val="false"/>
          <w:iCs w:val="false"/>
          <w:color w:val="000000"/>
          <w:sz w:val="24"/>
          <w:szCs w:val="24"/>
        </w:rPr>
        <w:t xml:space="preserve">agent_based_sim_v1_cpp, implemented in C++ with AVX2/OpenMP acceleration. N = 2500 agents on a 2D spatial plane with localized interaction radius R_c = 1.0. Coupling sweep: K_φ ∈ {0.0, 0.1, 0.5, 2.0}.</w:t>
      </w:r>
    </w:p>
    <w:p>
      <w:pPr>
        <w:spacing w:after="80" w:before="0" w:line="276"/>
        <w:jc w:val="both"/>
      </w:pPr>
      <w:r>
        <w:rPr>
          <w:rFonts w:ascii="Times New Roman" w:cs="Times New Roman" w:eastAsia="Times New Roman" w:hAnsi="Times New Roman"/>
          <w:b/>
          <w:bCs/>
          <w:i w:val="false"/>
          <w:iCs w:val="false"/>
          <w:color w:val="000000"/>
          <w:sz w:val="24"/>
          <w:szCs w:val="24"/>
        </w:rPr>
        <w:t xml:space="preserve">Mechanism 2 — Kuramoto Oscillator Model: </w:t>
      </w:r>
      <w:r>
        <w:rPr>
          <w:rFonts w:ascii="Times New Roman" w:cs="Times New Roman" w:eastAsia="Times New Roman" w:hAnsi="Times New Roman"/>
          <w:b w:val="false"/>
          <w:bCs w:val="false"/>
          <w:i w:val="false"/>
          <w:iCs w:val="false"/>
          <w:color w:val="000000"/>
          <w:sz w:val="24"/>
          <w:szCs w:val="24"/>
        </w:rPr>
        <w:t xml:space="preserve">kuramoto_sim_v1_cpp, implemented in C++ with SYCL targeting Intel UHD Graphics 770. N = 10000 oscillators in a 1D ring topology. Coupling sweep: K ∈ {0.0, 0.1, 0.5, 2.0}.</w:t>
      </w:r>
    </w:p>
    <w:p>
      <w:pPr>
        <w:spacing w:after="80" w:before="0" w:line="276"/>
        <w:jc w:val="both"/>
      </w:pPr>
      <w:r>
        <w:rPr>
          <w:rFonts w:ascii="Times New Roman" w:cs="Times New Roman" w:eastAsia="Times New Roman" w:hAnsi="Times New Roman"/>
          <w:b/>
          <w:bCs/>
          <w:i w:val="false"/>
          <w:iCs w:val="false"/>
          <w:color w:val="000000"/>
          <w:sz w:val="24"/>
          <w:szCs w:val="24"/>
        </w:rPr>
        <w:t xml:space="preserve">Measurement Layer — Spectral Analysis: </w:t>
      </w:r>
      <w:r>
        <w:rPr>
          <w:rFonts w:ascii="Times New Roman" w:cs="Times New Roman" w:eastAsia="Times New Roman" w:hAnsi="Times New Roman"/>
          <w:b w:val="false"/>
          <w:bCs w:val="false"/>
          <w:i w:val="false"/>
          <w:iCs w:val="false"/>
          <w:color w:val="000000"/>
          <w:sz w:val="24"/>
          <w:szCs w:val="24"/>
        </w:rPr>
        <w:t xml:space="preserve">spectral_analysis_v1_cpp, implemented in C++ with SYCL/oneAPI. Discrete Fourier Transform (DFT) applied to the final 50 timesteps of ABM order parameter trajectories in the high-coupling regime.</w:t>
      </w:r>
    </w:p>
    <w:p>
      <w:pPr>
        <w:spacing w:after="0" w:before="60"/>
      </w:pPr>
      <w:r>
        <w:t xml:space="preserve"/>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Three random seeds were used per configuration (seeds 101–103 for ABM; 201–203 for Kuramoto). Results are reported as mean and standard deviation across seeds. The Kuramoto ring topology imposes known constraints on global locking at large N; results from this mechanism are interpreted as directional rather than quantitative comparators.</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4. Observables</w:t>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Order Parameter: Global phase coherence ∈ [0, 1]. Primary measure of structural identity.</w:t>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Residue Mean: Average accumulated structural trace R. Validates that memory accumulation is active.</w:t>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Local Coherence Mean: Mean phase alignment within interaction neighborhoods.</w:t>
      </w:r>
    </w:p>
    <w:p>
      <w:pPr>
        <w:pStyle w:val="ListParagraph"/>
        <w:numPr>
          <w:ilvl w:val="0"/>
          <w:numId w:val="2"/>
        </w:numPr>
        <w:spacing w:after="80" w:before="0" w:line="276"/>
      </w:pPr>
      <w:r>
        <w:rPr>
          <w:rFonts w:ascii="Times New Roman" w:cs="Times New Roman" w:eastAsia="Times New Roman" w:hAnsi="Times New Roman"/>
          <w:b w:val="false"/>
          <w:bCs w:val="false"/>
          <w:i w:val="false"/>
          <w:iCs w:val="false"/>
          <w:sz w:val="24"/>
          <w:szCs w:val="24"/>
        </w:rPr>
        <w:t xml:space="preserve">Dominant Mode Fraction: Fraction of total spectral power in the lowest frequency bin. Used by the independent measurement layer to confirm temporal stability of emergent structure.</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5. Results</w:t>
      </w:r>
    </w:p>
    <w:p>
      <w:pPr>
        <w:spacing w:after="120" w:before="240"/>
      </w:pPr>
      <w:r>
        <w:rPr>
          <w:rFonts w:ascii="Times New Roman" w:cs="Times New Roman" w:eastAsia="Times New Roman" w:hAnsi="Times New Roman"/>
          <w:b/>
          <w:bCs/>
          <w:color w:val="1a1a2e"/>
          <w:sz w:val="28"/>
          <w:szCs w:val="28"/>
        </w:rPr>
        <w:t xml:space="preserve">5.1 Dynamics Results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Table 1 reports the order parameter (mean and standard deviation across seeds) for both mechanisms across the four coupling regimes.</w:t>
      </w:r>
    </w:p>
    <w:p>
      <w:pPr>
        <w:spacing w:after="0" w:before="100"/>
      </w:pPr>
      <w:r>
        <w:t xml:space="preserve"/>
      </w:r>
    </w:p>
    <w:p>
      <w:pPr>
        <w:spacing w:after="120" w:before="0" w:line="276"/>
        <w:jc w:val="center"/>
      </w:pPr>
      <w:r>
        <w:rPr>
          <w:rFonts w:ascii="Times New Roman" w:cs="Times New Roman" w:eastAsia="Times New Roman" w:hAnsi="Times New Roman"/>
          <w:b w:val="false"/>
          <w:bCs w:val="false"/>
          <w:i/>
          <w:iCs/>
          <w:color w:val="000000"/>
          <w:sz w:val="24"/>
          <w:szCs w:val="24"/>
        </w:rPr>
        <w:t xml:space="preserve">Table 1. Order parameter by mechanism and coupling regime.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000"/>
        <w:gridCol w:w="1560"/>
      </w:tblGrid>
      <w:tr>
        <w:trPr>
          <w:tblHeader/>
        </w:trPr>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Mechanism</w:t>
            </w:r>
          </w:p>
        </w:tc>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Coupling (K)</w:t>
            </w:r>
          </w:p>
        </w:tc>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Order Param (Mean)</w:t>
            </w:r>
          </w:p>
        </w:tc>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Order Param (StdDev)</w:t>
            </w:r>
          </w:p>
        </w:tc>
        <w:tc>
          <w:tcPr>
            <w:tcW w:type="dxa" w:w="15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Regime</w:t>
            </w:r>
          </w:p>
        </w:tc>
      </w:tr>
      <w:tr>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ABM</w:t>
            </w:r>
          </w:p>
        </w:tc>
        <w:tc>
          <w:tcPr>
            <w:tcW w:type="dxa" w:w="1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 (Ablated)</w:t>
            </w:r>
          </w:p>
        </w:tc>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0.0219</w:t>
            </w:r>
          </w:p>
        </w:tc>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0.0112</w:t>
            </w:r>
          </w:p>
        </w:tc>
        <w:tc>
          <w:tcPr>
            <w:tcW w:type="dxa" w:w="15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Noise floor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ABM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 (Low)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0.0252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0.0133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Noise floor</w:t>
            </w:r>
          </w:p>
        </w:tc>
      </w:tr>
      <w:tr>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ABM</w:t>
            </w:r>
          </w:p>
        </w:tc>
        <w:tc>
          <w:tcPr>
            <w:tcW w:type="dxa" w:w="1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 (Mid)</w:t>
            </w:r>
          </w:p>
        </w:tc>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0.0456</w:t>
            </w:r>
          </w:p>
        </w:tc>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0.0265</w:t>
            </w:r>
          </w:p>
        </w:tc>
        <w:tc>
          <w:tcPr>
            <w:tcW w:type="dxa" w:w="15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Sub-threshold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ABM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 (High)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0.4498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0.1780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Phase Packet</w:t>
            </w:r>
          </w:p>
        </w:tc>
      </w:tr>
      <w:tr>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Kuramoto</w:t>
            </w:r>
          </w:p>
        </w:tc>
        <w:tc>
          <w:tcPr>
            <w:tcW w:type="dxa" w:w="1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 (Ablated)</w:t>
            </w:r>
          </w:p>
        </w:tc>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0.0025</w:t>
            </w:r>
          </w:p>
        </w:tc>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0.0009</w:t>
            </w:r>
          </w:p>
        </w:tc>
        <w:tc>
          <w:tcPr>
            <w:tcW w:type="dxa" w:w="15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Noise floor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Kuramoto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 (Low)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0.0050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0.0037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Noise floor</w:t>
            </w:r>
          </w:p>
        </w:tc>
      </w:tr>
      <w:tr>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Kuramoto</w:t>
            </w:r>
          </w:p>
        </w:tc>
        <w:tc>
          <w:tcPr>
            <w:tcW w:type="dxa" w:w="1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 (Mid)</w:t>
            </w:r>
          </w:p>
        </w:tc>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0.0045</w:t>
            </w:r>
          </w:p>
        </w:tc>
        <w:tc>
          <w:tcPr>
            <w:tcW w:type="dxa" w:w="20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0.0025</w:t>
            </w:r>
          </w:p>
        </w:tc>
        <w:tc>
          <w:tcPr>
            <w:tcW w:type="dxa" w:w="15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Noise floor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Kuramoto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 (High)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0.0085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0.0088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Topology-damped</w:t>
            </w:r>
          </w:p>
        </w:tc>
      </w:tr>
    </w:tbl>
    <w:p>
      <w:pPr>
        <w:spacing w:after="0" w:before="160"/>
      </w:pPr>
      <w:r>
        <w:t xml:space="preserve"/>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ABM exhibits a pronounced non-linear transition between K = 0.5 (mean OP = 0.046) and K = 2.0 (mean OP = 0.450), consistent with a stochastic bifurcation. The high standard deviation at K = 2.0 (0.178) reflects seed-dependent variation near the transition boundary, characteristic of critical phenomena. Sub-threshold regimes (K ≤ 0.5) remain at or near the noise floor (OP &lt; 0.05).</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Kuramoto model shows monotonically increasing but uniformly low order parameter values across all regimes (maximum mean: 0.0085 at K = 2.0). This result is consistent with known properties of 1D ring Kuramoto models at large N: the ring topology introduces effective topological damping that strongly resists global locking. These results should not be interpreted as a failure to reproduce the ABM transition, but as a topology-constrained lower bound on the coupling effect.</w:t>
      </w:r>
    </w:p>
    <w:p>
      <w:pPr>
        <w:spacing w:after="0" w:before="80"/>
      </w:pPr>
      <w:r>
        <w:t xml:space="preserve"/>
      </w:r>
    </w:p>
    <w:p>
      <w:pPr>
        <w:spacing w:after="120" w:before="240"/>
      </w:pPr>
      <w:r>
        <w:rPr>
          <w:rFonts w:ascii="Times New Roman" w:cs="Times New Roman" w:eastAsia="Times New Roman" w:hAnsi="Times New Roman"/>
          <w:b/>
          <w:bCs/>
          <w:color w:val="1a1a2e"/>
          <w:sz w:val="28"/>
          <w:szCs w:val="28"/>
        </w:rPr>
        <w:t xml:space="preserve">5.2 Spectral Confirmation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Independent spectral measurement of the ABM high-coupling trajectory (K = 2.0) yielded a dominant power fraction of 0.569 in the lowest frequency bin (0.02 Hz), with total signal power 0.271. This concentration of power at the lowest measurable frequency independently confirms that the elevated order parameter at K = 2.0 reflects a persistent, temporally stable structure rather than transient fluctuation. A chaotic or noise-dominated state would distribute power broadly across the spectrum; the observed concentration is the spectral signature of Phase Packet identity as defined in the MPF framework.</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6. Cross-Mechanism Comparison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Both mechanisms show monotonically increasing coherence with coupling strength, and both exhibit minimal coherence in the ablated regime (K = 0.0). This qualitative directional agreement supports the core claim that coupling—as a proxy for Orientation−(i)—is necessary for Phase Packet emergence.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mechanisms diverge in the sharpness of the transition. The ABM produces a pronounced non-linear jump at K = 2.0 attributable to spatial localization: 2D nearest-neighbor interaction allows coherent kernels to form locally and propagate residue outward. The Kuramoto ring, constrained to 1D topology with global coupling inhibited by ring geometry at N = 10000, does not reproduce this sharp transition. This divergence is informative rather than contradictory: it suggests that spatial dimensionality and interaction geometry modulate the coupling threshold at which Orientation becomes effective.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Future work with all-to-all Kuramoto coupling and 3D ABM configurations will allow direct comparison of the topology dependence of θ_crit.</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7. Falsification</w:t>
      </w:r>
    </w:p>
    <w:p>
      <w:pPr>
        <w:spacing w:after="120" w:before="0" w:line="276"/>
        <w:jc w:val="both"/>
      </w:pPr>
      <w:r>
        <w:rPr>
          <w:rFonts w:ascii="Times New Roman" w:cs="Times New Roman" w:eastAsia="Times New Roman" w:hAnsi="Times New Roman"/>
          <w:b/>
          <w:bCs/>
          <w:i w:val="false"/>
          <w:iCs w:val="false"/>
          <w:color w:val="000000"/>
          <w:sz w:val="24"/>
          <w:szCs w:val="24"/>
        </w:rPr>
        <w:t xml:space="preserve">FV-2 — Boundary Collapse: </w:t>
      </w:r>
      <w:r>
        <w:rPr>
          <w:rFonts w:ascii="Times New Roman" w:cs="Times New Roman" w:eastAsia="Times New Roman" w:hAnsi="Times New Roman"/>
          <w:b w:val="false"/>
          <w:bCs w:val="false"/>
          <w:i w:val="false"/>
          <w:iCs w:val="false"/>
          <w:color w:val="000000"/>
          <w:sz w:val="24"/>
          <w:szCs w:val="24"/>
        </w:rPr>
        <w:t xml:space="preserve">Ablation of coupling (K = 0.0) in both mechanisms reduced the order parameter to the noise floor (ABM: 0.022 ± 0.011; Kuramoto: 0.003 ± 0.001). This confirms that emergence is strictly dependent on the interaction domain and does not arise from initialization artifacts.</w:t>
      </w:r>
    </w:p>
    <w:p>
      <w:pPr>
        <w:spacing w:after="120" w:before="0" w:line="276"/>
        <w:jc w:val="both"/>
      </w:pPr>
      <w:r>
        <w:rPr>
          <w:rFonts w:ascii="Times New Roman" w:cs="Times New Roman" w:eastAsia="Times New Roman" w:hAnsi="Times New Roman"/>
          <w:b/>
          <w:bCs/>
          <w:i w:val="false"/>
          <w:iCs w:val="false"/>
          <w:color w:val="000000"/>
          <w:sz w:val="24"/>
          <w:szCs w:val="24"/>
        </w:rPr>
        <w:t xml:space="preserve">FV-4 — Adversarial Initialization: </w:t>
      </w:r>
      <w:r>
        <w:rPr>
          <w:rFonts w:ascii="Times New Roman" w:cs="Times New Roman" w:eastAsia="Times New Roman" w:hAnsi="Times New Roman"/>
          <w:b w:val="false"/>
          <w:bCs w:val="false"/>
          <w:i w:val="false"/>
          <w:iCs w:val="false"/>
          <w:color w:val="000000"/>
          <w:sz w:val="24"/>
          <w:szCs w:val="24"/>
        </w:rPr>
        <w:t xml:space="preserve">Both mechanisms were initialized in maximal disorder (uniform phase distribution). High-coupling regimes (K = 2.0) successfully recovered coherent order despite adversarial starting conditions, demonstrating that the symmetry-breaking mechanism is robust to initial state and not an artifact of favorable initialization.</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8. Artifact Analysis and Known Limits</w:t>
      </w:r>
    </w:p>
    <w:p>
      <w:pPr>
        <w:spacing w:after="80" w:before="0" w:line="276"/>
        <w:jc w:val="both"/>
      </w:pPr>
      <w:r>
        <w:rPr>
          <w:rFonts w:ascii="Times New Roman" w:cs="Times New Roman" w:eastAsia="Times New Roman" w:hAnsi="Times New Roman"/>
          <w:b/>
          <w:bCs/>
          <w:i w:val="false"/>
          <w:iCs w:val="false"/>
          <w:color w:val="000000"/>
          <w:sz w:val="24"/>
          <w:szCs w:val="24"/>
        </w:rPr>
        <w:t xml:space="preserve">Seed sensitivity: </w:t>
      </w:r>
      <w:r>
        <w:rPr>
          <w:rFonts w:ascii="Times New Roman" w:cs="Times New Roman" w:eastAsia="Times New Roman" w:hAnsi="Times New Roman"/>
          <w:b w:val="false"/>
          <w:bCs w:val="false"/>
          <w:i w:val="false"/>
          <w:iCs w:val="false"/>
          <w:color w:val="000000"/>
          <w:sz w:val="24"/>
          <w:szCs w:val="24"/>
        </w:rPr>
        <w:t xml:space="preserve">Low in sub-threshold regimes (StdDev &lt; 0.03). High near K = 2.0 (StdDev = 0.178 in ABM), characteristic of stochastic bifurcation behavior rather than simulation artifact.</w:t>
      </w:r>
    </w:p>
    <w:p>
      <w:pPr>
        <w:spacing w:after="80" w:before="0" w:line="276"/>
        <w:jc w:val="both"/>
      </w:pPr>
      <w:r>
        <w:rPr>
          <w:rFonts w:ascii="Times New Roman" w:cs="Times New Roman" w:eastAsia="Times New Roman" w:hAnsi="Times New Roman"/>
          <w:b/>
          <w:bCs/>
          <w:i w:val="false"/>
          <w:iCs w:val="false"/>
          <w:color w:val="000000"/>
          <w:sz w:val="24"/>
          <w:szCs w:val="24"/>
        </w:rPr>
        <w:t xml:space="preserve">Mechanism sensitivity: </w:t>
      </w:r>
      <w:r>
        <w:rPr>
          <w:rFonts w:ascii="Times New Roman" w:cs="Times New Roman" w:eastAsia="Times New Roman" w:hAnsi="Times New Roman"/>
          <w:b w:val="false"/>
          <w:bCs w:val="false"/>
          <w:i w:val="false"/>
          <w:iCs w:val="false"/>
          <w:color w:val="000000"/>
          <w:sz w:val="24"/>
          <w:szCs w:val="24"/>
        </w:rPr>
        <w:t xml:space="preserve">Strong. 2D spatial localization in the ABM significantly accelerates packet formation relative to 1D ring coupling.</w:t>
      </w:r>
    </w:p>
    <w:p>
      <w:pPr>
        <w:spacing w:after="80" w:before="0" w:line="276"/>
        <w:jc w:val="both"/>
      </w:pPr>
      <w:r>
        <w:rPr>
          <w:rFonts w:ascii="Times New Roman" w:cs="Times New Roman" w:eastAsia="Times New Roman" w:hAnsi="Times New Roman"/>
          <w:b/>
          <w:bCs/>
          <w:i w:val="false"/>
          <w:iCs w:val="false"/>
          <w:color w:val="000000"/>
          <w:sz w:val="24"/>
          <w:szCs w:val="24"/>
        </w:rPr>
        <w:t xml:space="preserve">Kuramoto topology limit: </w:t>
      </w:r>
      <w:r>
        <w:rPr>
          <w:rFonts w:ascii="Times New Roman" w:cs="Times New Roman" w:eastAsia="Times New Roman" w:hAnsi="Times New Roman"/>
          <w:b w:val="false"/>
          <w:bCs w:val="false"/>
          <w:i w:val="false"/>
          <w:iCs w:val="false"/>
          <w:color w:val="000000"/>
          <w:sz w:val="24"/>
          <w:szCs w:val="24"/>
        </w:rPr>
        <w:t xml:space="preserve">The 1D ring at N = 10000 is known to resist global locking due to topological damping. The Kuramoto results represent a lower bound on coupling effectiveness, not a failure of the Orientation hypothesis. All-to-all coupling is recommended for future quantitative comparison.</w:t>
      </w:r>
    </w:p>
    <w:p>
      <w:pPr>
        <w:spacing w:after="80" w:before="0" w:line="276"/>
        <w:jc w:val="both"/>
      </w:pPr>
      <w:r>
        <w:rPr>
          <w:rFonts w:ascii="Times New Roman" w:cs="Times New Roman" w:eastAsia="Times New Roman" w:hAnsi="Times New Roman"/>
          <w:b/>
          <w:bCs/>
          <w:i w:val="false"/>
          <w:iCs w:val="false"/>
          <w:color w:val="000000"/>
          <w:sz w:val="24"/>
          <w:szCs w:val="24"/>
        </w:rPr>
        <w:t xml:space="preserve">Spectral window: </w:t>
      </w:r>
      <w:r>
        <w:rPr>
          <w:rFonts w:ascii="Times New Roman" w:cs="Times New Roman" w:eastAsia="Times New Roman" w:hAnsi="Times New Roman"/>
          <w:b w:val="false"/>
          <w:bCs w:val="false"/>
          <w:i w:val="false"/>
          <w:iCs w:val="false"/>
          <w:color w:val="000000"/>
          <w:sz w:val="24"/>
          <w:szCs w:val="24"/>
        </w:rPr>
        <w:t xml:space="preserve">The DFT was applied to the final 50 timesteps of the ABM trajectory. DFT parameters: sampling frequency determined by simulation timestep. The 0.02 Hz dominant mode corresponds to the lowest resolvable frequency in the 50-step window. High-resolution spectral analysis requiring extended time-series logging is planned for future runs.</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9. Classification</w:t>
      </w:r>
    </w:p>
    <w:p>
      <w:pPr>
        <w:spacing w:after="60" w:before="0" w:line="276"/>
        <w:jc w:val="both"/>
      </w:pPr>
      <w:r>
        <w:rPr>
          <w:rFonts w:ascii="Times New Roman" w:cs="Times New Roman" w:eastAsia="Times New Roman" w:hAnsi="Times New Roman"/>
          <w:b/>
          <w:bCs/>
          <w:i w:val="false"/>
          <w:iCs w:val="false"/>
          <w:color w:val="000000"/>
          <w:sz w:val="24"/>
          <w:szCs w:val="24"/>
        </w:rPr>
        <w:t xml:space="preserve">Claim Level: </w:t>
      </w:r>
      <w:r>
        <w:rPr>
          <w:rFonts w:ascii="Times New Roman" w:cs="Times New Roman" w:eastAsia="Times New Roman" w:hAnsi="Times New Roman"/>
          <w:b w:val="false"/>
          <w:bCs w:val="false"/>
          <w:i w:val="false"/>
          <w:iCs w:val="false"/>
          <w:color w:val="000000"/>
          <w:sz w:val="24"/>
          <w:szCs w:val="24"/>
        </w:rPr>
        <w:t xml:space="preserve">C4</w:t>
      </w:r>
    </w:p>
    <w:p>
      <w:pPr>
        <w:spacing w:after="60" w:before="0" w:line="276"/>
        <w:jc w:val="both"/>
      </w:pPr>
      <w:r>
        <w:rPr>
          <w:rFonts w:ascii="Times New Roman" w:cs="Times New Roman" w:eastAsia="Times New Roman" w:hAnsi="Times New Roman"/>
          <w:b/>
          <w:bCs/>
          <w:i w:val="false"/>
          <w:iCs w:val="false"/>
          <w:color w:val="000000"/>
          <w:sz w:val="24"/>
          <w:szCs w:val="24"/>
        </w:rPr>
        <w:t xml:space="preserve">Support Level: </w:t>
      </w:r>
      <w:r>
        <w:rPr>
          <w:rFonts w:ascii="Times New Roman" w:cs="Times New Roman" w:eastAsia="Times New Roman" w:hAnsi="Times New Roman"/>
          <w:b w:val="false"/>
          <w:bCs w:val="false"/>
          <w:i w:val="false"/>
          <w:iCs w:val="false"/>
          <w:color w:val="000000"/>
          <w:sz w:val="24"/>
          <w:szCs w:val="24"/>
        </w:rPr>
        <w:t xml:space="preserve">L3 (Multi-mechanism, multi-seed, independent measurement, falsification)</w:t>
      </w:r>
    </w:p>
    <w:p>
      <w:pPr>
        <w:spacing w:after="120" w:before="0" w:line="276"/>
        <w:jc w:val="both"/>
      </w:pPr>
      <w:r>
        <w:rPr>
          <w:rFonts w:ascii="Times New Roman" w:cs="Times New Roman" w:eastAsia="Times New Roman" w:hAnsi="Times New Roman"/>
          <w:b/>
          <w:bCs/>
          <w:i w:val="false"/>
          <w:iCs w:val="false"/>
          <w:color w:val="000000"/>
          <w:sz w:val="24"/>
          <w:szCs w:val="24"/>
        </w:rPr>
        <w:t xml:space="preserve">Status: </w:t>
      </w:r>
      <w:r>
        <w:rPr>
          <w:rFonts w:ascii="Times New Roman" w:cs="Times New Roman" w:eastAsia="Times New Roman" w:hAnsi="Times New Roman"/>
          <w:b w:val="false"/>
          <w:bCs w:val="false"/>
          <w:i w:val="false"/>
          <w:iCs w:val="false"/>
          <w:color w:val="000000"/>
          <w:sz w:val="24"/>
          <w:szCs w:val="24"/>
        </w:rPr>
        <w:t xml:space="preserve">Supported</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claim is supported by two independent dynamics mechanisms, two adversarial falsification vectors, and an independent spectral measurement layer confirming temporal stability. The Kuramoto results are classified as directional rather than quantitative confirmation due to topology constraints. No contradictions between mechanisms were found; divergence is fully explained by model architecture.</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10. Conclusion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Within these models, the Orientation operator −(i)—operationalized as local interaction coupling and derived in [5] as an admissible mismatch-minimizing selection rule—actively reduces the coupling threshold required for Phase Packet emergence. This acceleration is most pronounced in spatial models where localized interaction allows coherent kernels to form and propagate residue across the interaction domain. Independent spectral measurement confirms the temporal persistence of the emergent structure, distinguishing it from transient coherence.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These results are the final step in a five-paper empirical progression establishing that Phase Packet identity: requires an admissibility precursor [1]; is sustained by residue accumulation [2, 3]; is governed by a joint critical threshold [4]; and is accelerated by the Orientation operator as derived from first principles [5].</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All conclusions are restricted to the behavior of the described simulation architectures. Extrapolation to physical systems requires further multi-model validation and formal tightening of the operator semantics.</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11. Data and Code Availability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Simulation configurations, raw output metrics, and validation logs are archived in the acellorator GitHub repository under the May 2026 release tag. Engine source code, measurement tools, and the C4 certification manifest are preserved in the tools/ directory of that release. A companion dataset deposit is planned for Zenodo with a linked DOI upon acceptance.</w:t>
      </w:r>
    </w:p>
    <w:p>
      <w:pPr>
        <w:spacing w:after="0" w:before="120"/>
      </w:pPr>
      <w:r>
        <w:t xml:space="preserve"/>
      </w:r>
    </w:p>
    <w:p>
      <w:pPr>
        <w:spacing w:after="120" w:before="240"/>
      </w:pPr>
      <w:r>
        <w:rPr>
          <w:rFonts w:ascii="Times New Roman" w:cs="Times New Roman" w:eastAsia="Times New Roman" w:hAnsi="Times New Roman"/>
          <w:b/>
          <w:bCs/>
          <w:color w:val="1a1a2e"/>
          <w:sz w:val="32"/>
          <w:szCs w:val="32"/>
        </w:rPr>
        <w:t xml:space="preserve">References</w:t>
      </w:r>
    </w:p>
    <w:p>
      <w:pPr>
        <w:pStyle w:val="ListParagraph"/>
        <w:numPr>
          <w:ilvl w:val="0"/>
          <w:numId w:val="3"/>
        </w:numPr>
        <w:spacing w:after="80" w:before="0" w:line="276"/>
      </w:pPr>
      <w:r>
        <w:rPr>
          <w:rFonts w:ascii="Times New Roman" w:cs="Times New Roman" w:eastAsia="Times New Roman" w:hAnsi="Times New Roman"/>
          <w:sz w:val="24"/>
          <w:szCs w:val="24"/>
        </w:rPr>
        <w:t xml:space="preserve">[1] Hoskins, J. (2026). Admissibility and Recoupling (RT-1): Contingent Structural Realization in the Law of the One Process. MPF Technical Series. Companion manuscript.</w:t>
      </w:r>
    </w:p>
    <w:p>
      <w:pPr>
        <w:pStyle w:val="ListParagraph"/>
        <w:numPr>
          <w:ilvl w:val="0"/>
          <w:numId w:val="3"/>
        </w:numPr>
        <w:spacing w:after="80" w:before="0" w:line="276"/>
      </w:pPr>
      <w:r>
        <w:rPr>
          <w:rFonts w:ascii="Times New Roman" w:cs="Times New Roman" w:eastAsia="Times New Roman" w:hAnsi="Times New Roman"/>
          <w:sz w:val="24"/>
          <w:szCs w:val="24"/>
        </w:rPr>
        <w:t xml:space="preserve">[2] Hoskins, J. (2026). Near-Floor Convergence and Residue-Enforced Admissibility. MPF Technical Series. Companion manuscript.</w:t>
      </w:r>
    </w:p>
    <w:p>
      <w:pPr>
        <w:pStyle w:val="ListParagraph"/>
        <w:numPr>
          <w:ilvl w:val="0"/>
          <w:numId w:val="3"/>
        </w:numPr>
        <w:spacing w:after="80" w:before="0" w:line="276"/>
      </w:pPr>
      <w:r>
        <w:rPr>
          <w:rFonts w:ascii="Times New Roman" w:cs="Times New Roman" w:eastAsia="Times New Roman" w:hAnsi="Times New Roman"/>
          <w:sz w:val="24"/>
          <w:szCs w:val="24"/>
        </w:rPr>
        <w:t xml:space="preserve">[3] Hoskins, J. (2026). Phase Packet Stability as Residue-Supported Recurrence. MPF Technical Series. Companion manuscript.</w:t>
      </w:r>
    </w:p>
    <w:p>
      <w:pPr>
        <w:pStyle w:val="ListParagraph"/>
        <w:numPr>
          <w:ilvl w:val="0"/>
          <w:numId w:val="3"/>
        </w:numPr>
        <w:spacing w:after="80" w:before="0" w:line="276"/>
      </w:pPr>
      <w:r>
        <w:rPr>
          <w:rFonts w:ascii="Times New Roman" w:cs="Times New Roman" w:eastAsia="Times New Roman" w:hAnsi="Times New Roman"/>
          <w:sz w:val="24"/>
          <w:szCs w:val="24"/>
        </w:rPr>
        <w:t xml:space="preserve">[4] Hoskins, J. (2026). Threshold Mechanics of Structural Identity Emergence. MPF Technical Series. Companion manuscript.</w:t>
      </w:r>
    </w:p>
    <w:p>
      <w:pPr>
        <w:pStyle w:val="ListParagraph"/>
        <w:numPr>
          <w:ilvl w:val="0"/>
          <w:numId w:val="3"/>
        </w:numPr>
        <w:spacing w:after="80" w:before="0" w:line="276"/>
      </w:pPr>
      <w:r>
        <w:rPr>
          <w:rFonts w:ascii="Times New Roman" w:cs="Times New Roman" w:eastAsia="Times New Roman" w:hAnsi="Times New Roman"/>
          <w:sz w:val="24"/>
          <w:szCs w:val="24"/>
        </w:rPr>
        <w:t xml:space="preserve">[5] Hoskins, J. (2026). Deriving Local Reference −(i) from Admissible Mismatch-Minimizing Selection. MPF Technical Series. Companion manuscript.</w:t>
      </w:r>
    </w:p>
    <w:p>
      <w:pPr>
        <w:pStyle w:val="ListParagraph"/>
        <w:numPr>
          <w:ilvl w:val="0"/>
          <w:numId w:val="3"/>
        </w:numPr>
        <w:spacing w:after="80" w:before="0" w:line="276"/>
      </w:pPr>
      <w:r>
        <w:rPr>
          <w:rFonts w:ascii="Times New Roman" w:cs="Times New Roman" w:eastAsia="Times New Roman" w:hAnsi="Times New Roman"/>
          <w:sz w:val="24"/>
          <w:szCs w:val="24"/>
        </w:rPr>
        <w:t xml:space="preserve">[6] Kuramoto, Y. (1984). Chemical Oscillations, Waves, and Turbulence. Springer, Berlin.</w:t>
      </w:r>
    </w:p>
    <w:p>
      <w:pPr>
        <w:spacing w:after="0" w:before="200"/>
      </w:pPr>
      <w:r>
        <w:t xml:space="preserve"/>
      </w:r>
    </w:p>
    <w:p>
      <w:pPr>
        <w:pBdr>
          <w:bottom w:val="single" w:color="2E5FA3" w:sz="6" w:space="1"/>
        </w:pBdr>
        <w:spacing w:after="120" w:before="120"/>
      </w:pPr>
      <w:r>
        <w:t xml:space="preserve"/>
      </w:r>
    </w:p>
    <w:p>
      <w:pPr>
        <w:spacing w:after="0" w:before="0" w:line="276"/>
        <w:jc w:val="center"/>
      </w:pPr>
      <w:r>
        <w:rPr>
          <w:rFonts w:ascii="Times New Roman" w:cs="Times New Roman" w:eastAsia="Times New Roman" w:hAnsi="Times New Roman"/>
          <w:b w:val="false"/>
          <w:bCs w:val="false"/>
          <w:i/>
          <w:iCs/>
          <w:color w:val="000000"/>
          <w:sz w:val="24"/>
          <w:szCs w:val="24"/>
        </w:rPr>
        <w:t xml:space="preserve">End of document. Mono-Process Framework Technical Series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2026-05-01T22:31:11.659Z</dcterms:created>
  <dcterms:modified xsi:type="dcterms:W3CDTF">2026-05-01T22:31:11.659Z</dcterms:modified>
</cp:coreProperties>
</file>

<file path=docProps/custom.xml><?xml version="1.0" encoding="utf-8"?>
<Properties xmlns="http://schemas.openxmlformats.org/officeDocument/2006/custom-properties" xmlns:vt="http://schemas.openxmlformats.org/officeDocument/2006/docPropsVTypes"/>
</file>