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数据安全管理规范</w:t>
      </w:r>
    </w:p>
    <w:p>
      <w:r>
        <w:t>一、总则</w:t>
      </w:r>
    </w:p>
    <w:p>
      <w:r>
        <w:t>为保障公司数据资产安全，防范数据泄露、篡改和丢失风险，依据《网络安全法》《数据安全法》《个人信息保护法》等法律法规，制定本规范。</w:t>
      </w:r>
    </w:p>
    <w:p>
      <w:r>
        <w:t>数据安全管理遵循"分级保护、最小权限、全程可溯"的原则。</w:t>
      </w:r>
    </w:p>
    <w:p>
      <w:r>
        <w:t>二、数据分类分级</w:t>
      </w:r>
    </w:p>
    <w:p>
      <w:r>
        <w:t>数据按敏感程度分为四个等级：</w:t>
      </w:r>
    </w:p>
    <w:p>
      <w:r>
        <w:t>绝密级：公司核心知识产权（算法模型、专利技术方案、核心源代码）、董事会决议、重大战略规划。泄露将导致公司生存危机。</w:t>
      </w:r>
    </w:p>
    <w:p>
      <w:r>
        <w:t>机密级：客户合同信息、财务数据、员工薪资信息、未公开的产品路线图。泄露将造成重大经济损失。</w:t>
      </w:r>
    </w:p>
    <w:p>
      <w:r>
        <w:t>内部级：内部管理制度、项目文档、一般性邮件往来、非敏感业务数据。</w:t>
      </w:r>
    </w:p>
    <w:p>
      <w:r>
        <w:t>公开级：公司官网信息、对外宣传资料、已公开的产品文档。</w:t>
      </w:r>
    </w:p>
    <w:p>
      <w:r>
        <w:t>三、访问控制</w:t>
      </w:r>
    </w:p>
    <w:p>
      <w:r>
        <w:t>实行基于角色的访问控制（RBAC）：根据岗位职责授予最小必要的数据访问权限。绝密级数据的访问须经数据Owner和分管副总双重审批，且必须在公司内网环境操作。员工离职或调岗时，权限须在 24 小时内回收。</w:t>
      </w:r>
    </w:p>
    <w:p>
      <w:r>
        <w:t>四、数据传输与存储</w:t>
      </w:r>
    </w:p>
    <w:p>
      <w:r>
        <w:t>敏感数据在公网传输时必须使用加密通道（HTTPS/TLS 1.3、VPN、SFTP），禁止通过明文协议传输。员工办公电脑必须启用全盘加密和屏幕锁定密码（5 分钟无操作自动锁定）。禁止在个人设备上存储公司敏感数据。</w:t>
      </w:r>
    </w:p>
    <w:p>
      <w:r>
        <w:t>五、数据脱敏与匿名化</w:t>
      </w:r>
    </w:p>
    <w:p>
      <w:r>
        <w:t>个人信息（姓名、手机号、身份证号、银行卡号等）在前端展示时须进行脱敏处理。测试环境不得使用真实个人信息。用于数据分析的数据集，须事先进行去标识化处理。</w:t>
      </w:r>
    </w:p>
    <w:p>
      <w:r>
        <w:t>六、安全事件响应</w:t>
      </w:r>
    </w:p>
    <w:p>
      <w:r>
        <w:t>发生数据安全事件后，发现人应在 1 小时内向信息安全部报告。重大事件（涉及机密级数据或 100 人以上个人信息）启动应急预案。处置完成后，须在 15 个工作日内完成根因分析和整改措施。</w:t>
      </w:r>
    </w:p>
    <w:p>
      <w:r>
        <w:t>七、违规处理</w:t>
      </w:r>
    </w:p>
    <w:p>
      <w:r>
        <w:t>违反本规范的，视情节轻重给予通报批评、经济处罚、降职直至解除劳动合同。造成重大损失的，依法追究法律责任。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