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研发流程与技术规范</w:t>
      </w:r>
    </w:p>
    <w:p>
      <w:pPr>
        <w:pStyle w:val="Heading2"/>
      </w:pPr>
      <w:r>
        <w:t>研发流程总览</w:t>
      </w:r>
    </w:p>
    <w:p>
      <w:r>
        <w:t>公司采用双轨研发模式：产品迭代轨道（每两周一个 Sprint）和技术创新轨道（每季度一个研究周期）。</w:t>
      </w:r>
    </w:p>
    <w:p>
      <w:pPr>
        <w:pStyle w:val="Heading2"/>
      </w:pPr>
      <w:r>
        <w:t>需求到上线的完整流程</w:t>
      </w:r>
    </w:p>
    <w:p>
      <w:pPr>
        <w:pStyle w:val="Heading3"/>
      </w:pPr>
      <w:r>
        <w:t>需求阶段</w:t>
      </w:r>
    </w:p>
    <w:p>
      <w:r>
        <w:t>产品经理从客户反馈、数据分析、竞品调研中提炼需求，编写 PRD。PRD 须包含需求背景、用户场景、功能描述、交互原型和验收标准。</w:t>
      </w:r>
    </w:p>
    <w:p>
      <w:pPr>
        <w:pStyle w:val="Heading3"/>
      </w:pPr>
      <w:r>
        <w:t>设计阶段</w:t>
      </w:r>
    </w:p>
    <w:p>
      <w:r>
        <w:t>UX 设计师输出高保真交互原型和视觉设计稿。技术 Lead 编写技术方案（Design Doc），包括架构设计、数据库设计、接口定义、影响范围评估。开发量超过 5 人天的需求须经过技术评审。</w:t>
      </w:r>
    </w:p>
    <w:p>
      <w:pPr>
        <w:pStyle w:val="Heading3"/>
      </w:pPr>
      <w:r>
        <w:t>开发阶段</w:t>
      </w:r>
    </w:p>
    <w:p>
      <w:r>
        <w:t>开发人员按技术方案编码，遵循公司编码规范。所有代码须通过 Code Review（至少 1 名 Reviewer Approve）方可合并。Review 重点：逻辑正确性、安全性、性能、可维护性。</w:t>
      </w:r>
    </w:p>
    <w:p>
      <w:pPr>
        <w:pStyle w:val="Heading3"/>
      </w:pPr>
      <w:r>
        <w:t>测试阶段</w:t>
      </w:r>
    </w:p>
    <w:p>
      <w:r>
        <w:t>QA 工程师编写测试用例，执行功能测试、回归测试。关键需求额外执行探索性测试和安全测试。</w:t>
      </w:r>
    </w:p>
    <w:p>
      <w:pPr>
        <w:pStyle w:val="Heading3"/>
      </w:pPr>
      <w:r>
        <w:t>发布阶段</w:t>
      </w:r>
    </w:p>
    <w:p>
      <w:r>
        <w:t>采用灰度发布策略：1% → 10% → 50% → 全量逐级放量。每级灰度持续观察至少 30 分钟。异常时立即回滚。</w:t>
      </w:r>
    </w:p>
    <w:p>
      <w:pPr>
        <w:pStyle w:val="Heading2"/>
      </w:pPr>
      <w:r>
        <w:t>编码规范</w:t>
      </w:r>
    </w:p>
    <w:p>
      <w:pPr>
        <w:pStyle w:val="ListBullet"/>
      </w:pPr>
      <w:r>
        <w:t>- 单个函数不超过 80 行，单个文件不超过 500 行</w:t>
      </w:r>
    </w:p>
    <w:p>
      <w:pPr>
        <w:pStyle w:val="ListBullet"/>
      </w:pPr>
      <w:r>
        <w:t>- 注释率不低于 15%，公共 API 必须有文档注释</w:t>
      </w:r>
    </w:p>
    <w:p>
      <w:pPr>
        <w:pStyle w:val="ListBullet"/>
      </w:pPr>
      <w:r>
        <w:t>- 禁止硬编码密钥和密码</w:t>
      </w:r>
    </w:p>
    <w:p>
      <w:pPr>
        <w:pStyle w:val="ListBullet"/>
      </w:pPr>
      <w:r>
        <w:t>- 数据库操作使用参数化查询，禁止拼接 SQL</w:t>
      </w:r>
    </w:p>
    <w:p>
      <w:pPr>
        <w:pStyle w:val="ListBullet"/>
      </w:pPr>
      <w:r>
        <w:t>- 使用结构化日志（JSON 格式），包含 traceId、spanId</w:t>
      </w:r>
    </w:p>
    <w:p>
      <w:pPr>
        <w:pStyle w:val="Heading2"/>
      </w:pPr>
      <w:r>
        <w:t>技术债务管理</w:t>
      </w:r>
    </w:p>
    <w:p>
      <w:r>
        <w:t>技术债务统一登记在 Jira Backlog 中。每个 Sprint 分配不少于 15% 的开发资源用于偿还技术债务。每季度进行一次技术债务集中评估和清理。</w:t>
      </w:r>
    </w:p>
    <w:p>
      <w:pPr>
        <w:pStyle w:val="Heading2"/>
      </w:pPr>
      <w:r>
        <w:t>知识沉淀</w:t>
      </w:r>
    </w:p>
    <w:p>
      <w:r>
        <w:t>所有项目和系统必须在公司 Wiki 上维护架构文档、部署文档和运维手册。关键技术决策须记录 ADR（Architecture Decision Record）。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