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员工考勤与休假管理制度</w:t>
      </w:r>
    </w:p>
    <w:p>
      <w:r>
        <w:t>第一章 总则</w:t>
      </w:r>
    </w:p>
    <w:p>
      <w:r>
        <w:t>第一条 为规范公司考勤管理，保障正常工作秩序，根据国家相关法律法规，结合公司实际情况，制定本制度。</w:t>
      </w:r>
    </w:p>
    <w:p>
      <w:r>
        <w:t>第二条 本制度适用于公司全体在职员工，包括试用期员工。</w:t>
      </w:r>
    </w:p>
    <w:p>
      <w:r>
        <w:t>第二章 工作时间</w:t>
      </w:r>
    </w:p>
    <w:p>
      <w:r>
        <w:t>第三条 公司实行标准工时制，工作时间为每周一至周五，上午 9:00 至 12:00，下午 13:30 至 18:00。</w:t>
      </w:r>
    </w:p>
    <w:p>
      <w:r>
        <w:t>第四条 弹性工作制员工可在核心工作时间（10:00-16:00）范围内自主安排上下班时间，但需保证每日工作满 8 小时。</w:t>
      </w:r>
    </w:p>
    <w:p>
      <w:r>
        <w:t>第三章 请假管理</w:t>
      </w:r>
    </w:p>
    <w:p>
      <w:r>
        <w:t>第五条 请假类型包括：年假、事假、病假、婚假、产假/陪产假、丧假、工伤假等。</w:t>
      </w:r>
    </w:p>
    <w:p>
      <w:r>
        <w:t>第六条 年假天数：累计工作满 1 年不满 10 年的，年休假 5 天；满 10 年不满 20 年的，年休假 10 天；满 20 年的，年休假 15 天。</w:t>
      </w:r>
    </w:p>
    <w:p>
      <w:r>
        <w:t>第七条 病假须提供二级甲等以上医院开具的病假证明。所有请假须提前在 OA 系统中提交，3 天以内由部门经理审批，3 天以上须分管副总审批。</w:t>
      </w:r>
    </w:p>
    <w:p>
      <w:r>
        <w:t>第四章 违纪处理</w:t>
      </w:r>
    </w:p>
    <w:p>
      <w:r>
        <w:t>第八条 迟到、早退累计超过 30 分钟的部分，按事假处理。</w:t>
      </w:r>
    </w:p>
    <w:p>
      <w:r>
        <w:t>第九条 连续旷工 3 天或年累计旷工 5 天的，视为严重违纪，公司有权解除劳动合同。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