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pPr>
        <w:pStyle w:val="Heading1"/>
      </w:pPr>
      <w:r>
        <w:t>SECTION 1: INTRODUCTION AND SCOPE</w:t>
      </w:r>
    </w:p>
    <w:p>
      <w:r>
        <w:rPr>
          <w:b/>
        </w:rPr>
        <w:t xml:space="preserve">1.1 </w:t>
      </w:r>
      <w:r>
        <w:t>The E-Commerce Web Platform enables registered consumers to browse catalogs, manage wishlists, place online orders, and configure personal profile information.</w:t>
      </w:r>
    </w:p>
    <w:p>
      <w:r>
        <w:rPr>
          <w:b/>
        </w:rPr>
        <w:t xml:space="preserve">1.2 </w:t>
      </w:r>
      <w:r>
        <w:t>All authenticated interactions must comply with standard security and encryption protocols.</w:t>
      </w:r>
    </w:p>
    <w:p>
      <w:pPr>
        <w:pStyle w:val="Heading1"/>
      </w:pPr>
      <w:r>
        <w:t>SECTION 2: USER PROFILE &amp; IDENTITY MANAGEMENT</w:t>
      </w:r>
    </w:p>
    <w:p>
      <w:r>
        <w:rPr>
          <w:b/>
        </w:rPr>
        <w:t xml:space="preserve">2.1 </w:t>
      </w:r>
      <w:r>
        <w:t>Users can update their registered email address from their account settings.</w:t>
      </w:r>
    </w:p>
    <w:p>
      <w:r>
        <w:rPr>
          <w:b/>
        </w:rPr>
        <w:t xml:space="preserve">2.2 </w:t>
      </w:r>
      <w:r>
        <w:t>Users must be able to reset their password using their registered email.</w:t>
      </w:r>
    </w:p>
    <w:p>
      <w:r>
        <w:rPr>
          <w:b/>
        </w:rPr>
        <w:t xml:space="preserve">2.3 </w:t>
      </w:r>
      <w:r>
        <w:t>Users must be automatically logged out after 15 minutes of inactivity to protect sensitive financial sessions.</w:t>
      </w:r>
    </w:p>
    <w:p>
      <w:r>
        <w:rPr>
          <w:b/>
        </w:rPr>
        <w:t xml:space="preserve">2.4 </w:t>
      </w:r>
      <w:r>
        <w:t>Two-factor authentication (2FA) via SMS or authenticator app must be strictly mandatory for administrator access.</w:t>
      </w:r>
    </w:p>
    <w:p>
      <w:pPr>
        <w:pStyle w:val="Heading1"/>
      </w:pPr>
      <w:r>
        <w:t>SECTION 3: ORDER PROCESSING &amp; FULFILLMENT</w:t>
      </w:r>
    </w:p>
    <w:p>
      <w:r>
        <w:rPr>
          <w:b/>
        </w:rPr>
        <w:t xml:space="preserve">3.1 </w:t>
      </w:r>
      <w:r>
        <w:t>Customer can cancel an order before shipment directly through the customer order history dashboard.</w:t>
      </w:r>
    </w:p>
    <w:p>
      <w:r>
        <w:rPr>
          <w:b/>
        </w:rPr>
        <w:t xml:space="preserve">3.2 </w:t>
      </w:r>
      <w:r>
        <w:t>The system shall issue a full refund within 14 days of delivery upon receipt and inspection of returned merchandise.</w:t>
      </w:r>
    </w:p>
    <w:p>
      <w:r>
        <w:rPr>
          <w:b/>
        </w:rPr>
        <w:t xml:space="preserve">3.3 </w:t>
      </w:r>
      <w:r>
        <w:t>Customers may view order tracking milestones in real time.</w:t>
      </w:r>
    </w:p>
    <w:p>
      <w:pPr>
        <w:pStyle w:val="Heading1"/>
      </w:pPr>
      <w:r>
        <w:t>SECTION 4: SYSTEM PERFORMANCE &amp; ADMINISTRATION</w:t>
      </w:r>
    </w:p>
    <w:p>
      <w:r>
        <w:rPr>
          <w:b/>
        </w:rPr>
        <w:t xml:space="preserve">4.1 </w:t>
      </w:r>
      <w:r>
        <w:t>The system must respond quickly during high traffic periods to ensure a seamless checkout experience.</w:t>
      </w:r>
    </w:p>
    <w:p>
      <w:r>
        <w:rPr>
          <w:b/>
        </w:rPr>
        <w:t xml:space="preserve">4.2 </w:t>
      </w:r>
      <w:r>
        <w:t>Administrators must have access to real-time sales reporting and inventory audit logs.</w:t>
      </w:r>
    </w:p>
    <w:p>
      <w:r>
        <w:rPr>
          <w:b/>
        </w:rPr>
        <w:t xml:space="preserve">4.3 </w:t>
      </w:r>
      <w:r>
        <w:t>Customer support representatives may view customer transaction history for troubleshooting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