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03897" w14:textId="77777777" w:rsidR="00832094" w:rsidRPr="00832094" w:rsidRDefault="00832094" w:rsidP="00832094">
      <w:pPr>
        <w:rPr>
          <w:b/>
          <w:bCs/>
        </w:rPr>
      </w:pPr>
      <w:r w:rsidRPr="00832094">
        <w:rPr>
          <w:b/>
          <w:bCs/>
        </w:rPr>
        <w:t>El Patio Vera – Sheikh Zayed</w:t>
      </w:r>
    </w:p>
    <w:p w14:paraId="3FF7ECB2" w14:textId="77777777" w:rsidR="00832094" w:rsidRPr="00832094" w:rsidRDefault="00832094" w:rsidP="00832094">
      <w:pPr>
        <w:rPr>
          <w:b/>
          <w:bCs/>
        </w:rPr>
      </w:pPr>
      <w:r w:rsidRPr="00832094">
        <w:rPr>
          <w:rFonts w:ascii="Segoe UI Emoji" w:hAnsi="Segoe UI Emoji" w:cs="Segoe UI Emoji"/>
          <w:b/>
          <w:bCs/>
        </w:rPr>
        <w:t>📍</w:t>
      </w:r>
      <w:r w:rsidRPr="00832094">
        <w:rPr>
          <w:b/>
          <w:bCs/>
        </w:rPr>
        <w:t xml:space="preserve"> District: </w:t>
      </w:r>
      <w:r w:rsidRPr="00832094">
        <w:rPr>
          <w:b/>
          <w:bCs/>
          <w:rtl/>
        </w:rPr>
        <w:t>قلب الشيخ زايد – على وصلة دهشور، محاط بمشاريع راقية مثل</w:t>
      </w:r>
      <w:r w:rsidRPr="00832094">
        <w:rPr>
          <w:b/>
          <w:bCs/>
        </w:rPr>
        <w:t xml:space="preserve"> Beverly Hills</w:t>
      </w:r>
      <w:r w:rsidRPr="00832094">
        <w:rPr>
          <w:b/>
          <w:bCs/>
          <w:rtl/>
        </w:rPr>
        <w:t xml:space="preserve">، </w:t>
      </w:r>
      <w:r w:rsidRPr="00832094">
        <w:rPr>
          <w:b/>
          <w:bCs/>
        </w:rPr>
        <w:t xml:space="preserve">Mall of Egypt </w:t>
      </w:r>
      <w:r w:rsidRPr="00832094">
        <w:rPr>
          <w:b/>
          <w:bCs/>
          <w:rtl/>
        </w:rPr>
        <w:t>وأخرى</w:t>
      </w:r>
      <w:r w:rsidRPr="00832094">
        <w:rPr>
          <w:b/>
          <w:bCs/>
        </w:rPr>
        <w:t>.</w:t>
      </w:r>
    </w:p>
    <w:p w14:paraId="25403B76" w14:textId="77777777" w:rsidR="00832094" w:rsidRPr="00832094" w:rsidRDefault="00832094" w:rsidP="00832094">
      <w:pPr>
        <w:rPr>
          <w:b/>
          <w:bCs/>
        </w:rPr>
      </w:pPr>
      <w:r w:rsidRPr="00832094">
        <w:rPr>
          <w:b/>
          <w:bCs/>
        </w:rPr>
        <w:pict w14:anchorId="751A617B">
          <v:rect id="_x0000_i1085" style="width:0;height:1.5pt" o:hralign="center" o:hrstd="t" o:hr="t" fillcolor="#a0a0a0" stroked="f"/>
        </w:pict>
      </w:r>
    </w:p>
    <w:p w14:paraId="2C35ECB1" w14:textId="77777777" w:rsidR="00832094" w:rsidRPr="00832094" w:rsidRDefault="00832094" w:rsidP="00832094">
      <w:pPr>
        <w:rPr>
          <w:b/>
          <w:bCs/>
        </w:rPr>
      </w:pPr>
      <w:r w:rsidRPr="00832094">
        <w:rPr>
          <w:b/>
          <w:bCs/>
        </w:rPr>
        <w:t>Description (English)</w:t>
      </w:r>
    </w:p>
    <w:p w14:paraId="2BC61F70" w14:textId="49F5D97E" w:rsidR="00832094" w:rsidRPr="00832094" w:rsidRDefault="00832094" w:rsidP="00832094">
      <w:pPr>
        <w:rPr>
          <w:b/>
          <w:bCs/>
        </w:rPr>
      </w:pPr>
      <w:r w:rsidRPr="00832094">
        <w:rPr>
          <w:b/>
          <w:bCs/>
        </w:rPr>
        <w:t xml:space="preserve">El Patio Vera is a luxurious gated community by La Vista Developments, </w:t>
      </w:r>
      <w:r w:rsidRPr="00832094">
        <w:rPr>
          <w:b/>
          <w:bCs/>
          <w:rtl/>
        </w:rPr>
        <w:t xml:space="preserve">يمتد على نحو </w:t>
      </w:r>
      <w:r w:rsidRPr="00832094">
        <w:rPr>
          <w:b/>
          <w:bCs/>
        </w:rPr>
        <w:t>40–50 </w:t>
      </w:r>
      <w:r w:rsidRPr="00832094">
        <w:rPr>
          <w:b/>
          <w:bCs/>
          <w:rtl/>
        </w:rPr>
        <w:t xml:space="preserve">فدان، مع نسبة بناء حوالي </w:t>
      </w:r>
      <w:r w:rsidRPr="00832094">
        <w:rPr>
          <w:b/>
          <w:bCs/>
        </w:rPr>
        <w:t>18–20 %</w:t>
      </w:r>
      <w:r w:rsidRPr="00832094">
        <w:rPr>
          <w:b/>
          <w:bCs/>
          <w:rtl/>
        </w:rPr>
        <w:t xml:space="preserve">، مما يخصص نحو </w:t>
      </w:r>
      <w:r w:rsidRPr="00832094">
        <w:rPr>
          <w:b/>
          <w:bCs/>
        </w:rPr>
        <w:t xml:space="preserve">80–82 % </w:t>
      </w:r>
      <w:r w:rsidRPr="00832094">
        <w:rPr>
          <w:b/>
          <w:bCs/>
          <w:rtl/>
        </w:rPr>
        <w:t xml:space="preserve">للمساحات الخضراء والمسطحات المائية </w:t>
      </w:r>
    </w:p>
    <w:p w14:paraId="6AB0DD0F" w14:textId="2F32C680" w:rsidR="00832094" w:rsidRPr="00832094" w:rsidRDefault="00832094" w:rsidP="00832094">
      <w:pPr>
        <w:rPr>
          <w:b/>
          <w:bCs/>
        </w:rPr>
      </w:pPr>
      <w:r w:rsidRPr="00832094">
        <w:rPr>
          <w:b/>
          <w:bCs/>
          <w:rtl/>
        </w:rPr>
        <w:t xml:space="preserve">التصميم يجمع بين الطابع الأوروبي والعصري، مع وحدات تتنوع بين توين هاوس، تاون هاوس، وفيلات مستقلة، مصممة بمساحات رحبة وتفصل بينها حدائق واسعة ومساحات فاصلة </w:t>
      </w:r>
    </w:p>
    <w:p w14:paraId="1E1D6C55" w14:textId="77777777" w:rsidR="00832094" w:rsidRPr="00832094" w:rsidRDefault="00832094" w:rsidP="00832094">
      <w:pPr>
        <w:rPr>
          <w:b/>
          <w:bCs/>
        </w:rPr>
      </w:pPr>
      <w:r w:rsidRPr="00832094">
        <w:rPr>
          <w:b/>
          <w:bCs/>
        </w:rPr>
        <w:pict w14:anchorId="101A976F">
          <v:rect id="_x0000_i1086" style="width:0;height:1.5pt" o:hralign="center" o:hrstd="t" o:hr="t" fillcolor="#a0a0a0" stroked="f"/>
        </w:pict>
      </w:r>
    </w:p>
    <w:p w14:paraId="69D1B139" w14:textId="77777777" w:rsidR="00832094" w:rsidRPr="00832094" w:rsidRDefault="00832094" w:rsidP="00832094">
      <w:pPr>
        <w:rPr>
          <w:b/>
          <w:bCs/>
        </w:rPr>
      </w:pPr>
      <w:r w:rsidRPr="00832094">
        <w:rPr>
          <w:b/>
          <w:bCs/>
        </w:rPr>
        <w:t>Key Info:</w:t>
      </w:r>
    </w:p>
    <w:p w14:paraId="2C88C853" w14:textId="77777777" w:rsidR="00832094" w:rsidRPr="00832094" w:rsidRDefault="00832094" w:rsidP="00832094">
      <w:pPr>
        <w:numPr>
          <w:ilvl w:val="0"/>
          <w:numId w:val="5"/>
        </w:numPr>
        <w:rPr>
          <w:b/>
          <w:bCs/>
        </w:rPr>
      </w:pPr>
      <w:r w:rsidRPr="00832094">
        <w:rPr>
          <w:b/>
          <w:bCs/>
        </w:rPr>
        <w:t>Unit Types &amp; Sizes:</w:t>
      </w:r>
    </w:p>
    <w:p w14:paraId="1679F238" w14:textId="5E7D4EFB" w:rsidR="00832094" w:rsidRPr="00832094" w:rsidRDefault="00832094" w:rsidP="00832094">
      <w:pPr>
        <w:numPr>
          <w:ilvl w:val="1"/>
          <w:numId w:val="5"/>
        </w:numPr>
        <w:rPr>
          <w:b/>
          <w:bCs/>
        </w:rPr>
      </w:pPr>
      <w:r w:rsidRPr="00832094">
        <w:rPr>
          <w:b/>
          <w:bCs/>
        </w:rPr>
        <w:t xml:space="preserve">Twin Houses: </w:t>
      </w:r>
      <w:r w:rsidRPr="00832094">
        <w:rPr>
          <w:b/>
          <w:bCs/>
          <w:rtl/>
        </w:rPr>
        <w:t xml:space="preserve">تبدأ من 200 م² وحتى تقريباً 241 م² </w:t>
      </w:r>
    </w:p>
    <w:p w14:paraId="5F4E0E8E" w14:textId="61BFB16C" w:rsidR="00832094" w:rsidRPr="00832094" w:rsidRDefault="00832094" w:rsidP="00832094">
      <w:pPr>
        <w:numPr>
          <w:ilvl w:val="1"/>
          <w:numId w:val="5"/>
        </w:numPr>
        <w:rPr>
          <w:b/>
          <w:bCs/>
        </w:rPr>
      </w:pPr>
      <w:r w:rsidRPr="00832094">
        <w:rPr>
          <w:b/>
          <w:bCs/>
        </w:rPr>
        <w:t xml:space="preserve">Townhouses: </w:t>
      </w:r>
      <w:r w:rsidRPr="00832094">
        <w:rPr>
          <w:b/>
          <w:bCs/>
          <w:rtl/>
        </w:rPr>
        <w:t xml:space="preserve">تبدأ من حوالي 241 م² </w:t>
      </w:r>
    </w:p>
    <w:p w14:paraId="509150FA" w14:textId="084BDF3C" w:rsidR="00832094" w:rsidRPr="00832094" w:rsidRDefault="00832094" w:rsidP="00832094">
      <w:pPr>
        <w:numPr>
          <w:ilvl w:val="1"/>
          <w:numId w:val="5"/>
        </w:numPr>
        <w:rPr>
          <w:b/>
          <w:bCs/>
        </w:rPr>
      </w:pPr>
      <w:r w:rsidRPr="00832094">
        <w:rPr>
          <w:b/>
          <w:bCs/>
        </w:rPr>
        <w:t xml:space="preserve">Standalone Villas: </w:t>
      </w:r>
      <w:r w:rsidRPr="00832094">
        <w:rPr>
          <w:b/>
          <w:bCs/>
          <w:rtl/>
        </w:rPr>
        <w:t xml:space="preserve">تبدأ من حوالي 330 م² </w:t>
      </w:r>
    </w:p>
    <w:p w14:paraId="71DC562B" w14:textId="1D370DFE" w:rsidR="00832094" w:rsidRPr="00832094" w:rsidRDefault="00832094" w:rsidP="00832094">
      <w:pPr>
        <w:numPr>
          <w:ilvl w:val="0"/>
          <w:numId w:val="5"/>
        </w:numPr>
        <w:rPr>
          <w:b/>
          <w:bCs/>
        </w:rPr>
      </w:pPr>
      <w:r w:rsidRPr="00832094">
        <w:rPr>
          <w:b/>
          <w:bCs/>
        </w:rPr>
        <w:t xml:space="preserve">Down Payment: </w:t>
      </w:r>
      <w:r w:rsidRPr="00832094">
        <w:rPr>
          <w:b/>
          <w:bCs/>
          <w:rtl/>
        </w:rPr>
        <w:t xml:space="preserve">من </w:t>
      </w:r>
      <w:r w:rsidRPr="00832094">
        <w:rPr>
          <w:b/>
          <w:bCs/>
        </w:rPr>
        <w:t xml:space="preserve">5 % </w:t>
      </w:r>
      <w:r w:rsidRPr="00832094">
        <w:rPr>
          <w:b/>
          <w:bCs/>
          <w:rtl/>
        </w:rPr>
        <w:t xml:space="preserve">للحجز، ثم 5 % عند التعاقد </w:t>
      </w:r>
    </w:p>
    <w:p w14:paraId="2CE2972C" w14:textId="12067805" w:rsidR="00832094" w:rsidRPr="00832094" w:rsidRDefault="00832094" w:rsidP="00832094">
      <w:pPr>
        <w:numPr>
          <w:ilvl w:val="0"/>
          <w:numId w:val="5"/>
        </w:numPr>
        <w:rPr>
          <w:b/>
          <w:bCs/>
        </w:rPr>
      </w:pPr>
      <w:r w:rsidRPr="00832094">
        <w:rPr>
          <w:b/>
          <w:bCs/>
        </w:rPr>
        <w:t xml:space="preserve">Payment Plans: </w:t>
      </w:r>
      <w:r w:rsidRPr="00832094">
        <w:rPr>
          <w:b/>
          <w:bCs/>
          <w:rtl/>
        </w:rPr>
        <w:t xml:space="preserve">تقسيط حتى </w:t>
      </w:r>
      <w:r w:rsidRPr="00832094">
        <w:rPr>
          <w:b/>
          <w:bCs/>
        </w:rPr>
        <w:t xml:space="preserve">7 </w:t>
      </w:r>
      <w:r w:rsidRPr="00832094">
        <w:rPr>
          <w:b/>
          <w:bCs/>
          <w:rtl/>
        </w:rPr>
        <w:t xml:space="preserve">سنوات بدون فوائد </w:t>
      </w:r>
    </w:p>
    <w:p w14:paraId="0BCE4E07" w14:textId="64208943" w:rsidR="00832094" w:rsidRPr="00832094" w:rsidRDefault="00832094" w:rsidP="00832094">
      <w:pPr>
        <w:numPr>
          <w:ilvl w:val="0"/>
          <w:numId w:val="5"/>
        </w:numPr>
        <w:rPr>
          <w:b/>
          <w:bCs/>
        </w:rPr>
      </w:pPr>
      <w:r w:rsidRPr="00832094">
        <w:rPr>
          <w:b/>
          <w:bCs/>
        </w:rPr>
        <w:t xml:space="preserve">Delivery: </w:t>
      </w:r>
      <w:r w:rsidRPr="00832094">
        <w:rPr>
          <w:b/>
          <w:bCs/>
          <w:rtl/>
        </w:rPr>
        <w:t xml:space="preserve">متوقع خلال </w:t>
      </w:r>
      <w:r w:rsidRPr="00832094">
        <w:rPr>
          <w:b/>
          <w:bCs/>
        </w:rPr>
        <w:t>2027–2028</w:t>
      </w:r>
      <w:r w:rsidRPr="00832094">
        <w:rPr>
          <w:b/>
          <w:bCs/>
          <w:rtl/>
        </w:rPr>
        <w:t xml:space="preserve">، مع نظام نصف تشطيب وقد يصل للتشطيب الكامل </w:t>
      </w:r>
    </w:p>
    <w:p w14:paraId="04940A42" w14:textId="77777777" w:rsidR="00832094" w:rsidRPr="00832094" w:rsidRDefault="00832094" w:rsidP="00832094">
      <w:pPr>
        <w:numPr>
          <w:ilvl w:val="0"/>
          <w:numId w:val="5"/>
        </w:numPr>
        <w:rPr>
          <w:b/>
          <w:bCs/>
        </w:rPr>
      </w:pPr>
      <w:r w:rsidRPr="00832094">
        <w:rPr>
          <w:b/>
          <w:bCs/>
        </w:rPr>
        <w:t xml:space="preserve">Build-up Ratio: </w:t>
      </w:r>
      <w:r w:rsidRPr="00832094">
        <w:rPr>
          <w:b/>
          <w:bCs/>
          <w:rtl/>
        </w:rPr>
        <w:t xml:space="preserve">حوالي </w:t>
      </w:r>
      <w:r w:rsidRPr="00832094">
        <w:rPr>
          <w:b/>
          <w:bCs/>
        </w:rPr>
        <w:t xml:space="preserve">18–20 % </w:t>
      </w:r>
      <w:r w:rsidRPr="00832094">
        <w:rPr>
          <w:b/>
          <w:bCs/>
          <w:rtl/>
        </w:rPr>
        <w:t xml:space="preserve">مبانٍ مقابل ~80 % مساحات مفتوحة </w:t>
      </w:r>
    </w:p>
    <w:p w14:paraId="3B216EA7" w14:textId="77777777" w:rsidR="00C85361" w:rsidRPr="00832094" w:rsidRDefault="00C85361" w:rsidP="00832094"/>
    <w:sectPr w:rsidR="00C85361" w:rsidRPr="0083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3539"/>
    <w:multiLevelType w:val="multilevel"/>
    <w:tmpl w:val="0182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B51C6"/>
    <w:multiLevelType w:val="multilevel"/>
    <w:tmpl w:val="C00E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E5607"/>
    <w:multiLevelType w:val="multilevel"/>
    <w:tmpl w:val="0EDC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15787"/>
    <w:multiLevelType w:val="multilevel"/>
    <w:tmpl w:val="4D6A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964A6"/>
    <w:multiLevelType w:val="multilevel"/>
    <w:tmpl w:val="F73E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740835">
    <w:abstractNumId w:val="2"/>
  </w:num>
  <w:num w:numId="2" w16cid:durableId="245384012">
    <w:abstractNumId w:val="3"/>
  </w:num>
  <w:num w:numId="3" w16cid:durableId="2079084155">
    <w:abstractNumId w:val="0"/>
  </w:num>
  <w:num w:numId="4" w16cid:durableId="1673680115">
    <w:abstractNumId w:val="4"/>
  </w:num>
  <w:num w:numId="5" w16cid:durableId="1309700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FB"/>
    <w:rsid w:val="00076961"/>
    <w:rsid w:val="000E7AD1"/>
    <w:rsid w:val="00295B6F"/>
    <w:rsid w:val="003F42FB"/>
    <w:rsid w:val="00832094"/>
    <w:rsid w:val="00A82B41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A7DD"/>
  <w15:chartTrackingRefBased/>
  <w15:docId w15:val="{FD4BF082-DE01-478C-9AEB-11E0BC71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2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2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2025-06-29T09:59:00Z</dcterms:created>
  <dcterms:modified xsi:type="dcterms:W3CDTF">2025-06-29T09:59:00Z</dcterms:modified>
</cp:coreProperties>
</file>