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A1856" w14:textId="77777777" w:rsidR="0019034D" w:rsidRPr="0019034D" w:rsidRDefault="0019034D" w:rsidP="0019034D">
      <w:pPr>
        <w:rPr>
          <w:b/>
          <w:bCs/>
        </w:rPr>
      </w:pPr>
      <w:r w:rsidRPr="0019034D">
        <w:rPr>
          <w:b/>
          <w:bCs/>
        </w:rPr>
        <w:t xml:space="preserve">Odessa (The City of </w:t>
      </w:r>
      <w:proofErr w:type="spellStart"/>
      <w:r w:rsidRPr="0019034D">
        <w:rPr>
          <w:b/>
          <w:bCs/>
        </w:rPr>
        <w:t>Odyssia</w:t>
      </w:r>
      <w:proofErr w:type="spellEnd"/>
      <w:r w:rsidRPr="0019034D">
        <w:rPr>
          <w:b/>
          <w:bCs/>
        </w:rPr>
        <w:t>) – Al Ahly </w:t>
      </w:r>
      <w:proofErr w:type="spellStart"/>
      <w:r w:rsidRPr="0019034D">
        <w:rPr>
          <w:b/>
          <w:bCs/>
        </w:rPr>
        <w:t>Sabbour</w:t>
      </w:r>
      <w:proofErr w:type="spellEnd"/>
    </w:p>
    <w:p w14:paraId="0B7463B4" w14:textId="499816D8" w:rsidR="0019034D" w:rsidRPr="0019034D" w:rsidRDefault="0019034D" w:rsidP="0019034D">
      <w:pPr>
        <w:rPr>
          <w:b/>
          <w:bCs/>
        </w:rPr>
      </w:pPr>
      <w:r w:rsidRPr="0019034D">
        <w:rPr>
          <w:rFonts w:ascii="Segoe UI Emoji" w:hAnsi="Segoe UI Emoji" w:cs="Segoe UI Emoji"/>
          <w:b/>
          <w:bCs/>
        </w:rPr>
        <w:t>📍</w:t>
      </w:r>
      <w:r w:rsidRPr="0019034D">
        <w:rPr>
          <w:b/>
          <w:bCs/>
        </w:rPr>
        <w:t xml:space="preserve"> Location: </w:t>
      </w:r>
      <w:proofErr w:type="spellStart"/>
      <w:r w:rsidRPr="0019034D">
        <w:rPr>
          <w:b/>
          <w:bCs/>
        </w:rPr>
        <w:t>Mostakbal</w:t>
      </w:r>
      <w:proofErr w:type="spellEnd"/>
      <w:r w:rsidRPr="0019034D">
        <w:rPr>
          <w:b/>
          <w:bCs/>
        </w:rPr>
        <w:t xml:space="preserve"> City, New Cairo – situated between Kilo 46.5–51 on Cairo–Suez Road, about 8 km from Suez Road, 10 km from </w:t>
      </w:r>
      <w:proofErr w:type="spellStart"/>
      <w:r w:rsidRPr="0019034D">
        <w:rPr>
          <w:b/>
          <w:bCs/>
        </w:rPr>
        <w:t>Madinaty</w:t>
      </w:r>
      <w:proofErr w:type="spellEnd"/>
      <w:r w:rsidRPr="0019034D">
        <w:rPr>
          <w:b/>
          <w:bCs/>
        </w:rPr>
        <w:t xml:space="preserve">, 20 km from New Administrative Capital, and approximately 30 km from Greater Cairo </w:t>
      </w:r>
    </w:p>
    <w:p w14:paraId="0B21964F" w14:textId="77777777" w:rsidR="0019034D" w:rsidRPr="0019034D" w:rsidRDefault="0019034D" w:rsidP="0019034D">
      <w:pPr>
        <w:rPr>
          <w:b/>
          <w:bCs/>
        </w:rPr>
      </w:pPr>
      <w:r w:rsidRPr="0019034D">
        <w:rPr>
          <w:b/>
          <w:bCs/>
        </w:rPr>
        <w:pict w14:anchorId="408A2636">
          <v:rect id="_x0000_i1271" style="width:0;height:1.5pt" o:hralign="center" o:hrstd="t" o:hr="t" fillcolor="#a0a0a0" stroked="f"/>
        </w:pict>
      </w:r>
    </w:p>
    <w:p w14:paraId="229004BB" w14:textId="77777777" w:rsidR="0019034D" w:rsidRPr="0019034D" w:rsidRDefault="0019034D" w:rsidP="0019034D">
      <w:pPr>
        <w:rPr>
          <w:b/>
          <w:bCs/>
        </w:rPr>
      </w:pPr>
      <w:r w:rsidRPr="0019034D">
        <w:rPr>
          <w:b/>
          <w:bCs/>
        </w:rPr>
        <w:t>Description (English)</w:t>
      </w:r>
    </w:p>
    <w:p w14:paraId="0A123DF9" w14:textId="77777777" w:rsidR="0019034D" w:rsidRPr="0019034D" w:rsidRDefault="0019034D" w:rsidP="0019034D">
      <w:pPr>
        <w:rPr>
          <w:b/>
          <w:bCs/>
        </w:rPr>
      </w:pPr>
      <w:r w:rsidRPr="0019034D">
        <w:rPr>
          <w:b/>
          <w:bCs/>
        </w:rPr>
        <w:t xml:space="preserve">Odessa, branded as The City of </w:t>
      </w:r>
      <w:proofErr w:type="spellStart"/>
      <w:r w:rsidRPr="0019034D">
        <w:rPr>
          <w:b/>
          <w:bCs/>
        </w:rPr>
        <w:t>Odyssia</w:t>
      </w:r>
      <w:proofErr w:type="spellEnd"/>
      <w:r w:rsidRPr="0019034D">
        <w:rPr>
          <w:b/>
          <w:bCs/>
        </w:rPr>
        <w:t>, is a large-scale integrated urban community by Al Ahly </w:t>
      </w:r>
      <w:proofErr w:type="spellStart"/>
      <w:r w:rsidRPr="0019034D">
        <w:rPr>
          <w:b/>
          <w:bCs/>
        </w:rPr>
        <w:t>Sabbour</w:t>
      </w:r>
      <w:proofErr w:type="spellEnd"/>
      <w:r w:rsidRPr="0019034D">
        <w:rPr>
          <w:b/>
          <w:bCs/>
        </w:rPr>
        <w:t xml:space="preserve"> spreading over approximately 528 acres in </w:t>
      </w:r>
      <w:proofErr w:type="spellStart"/>
      <w:r w:rsidRPr="0019034D">
        <w:rPr>
          <w:b/>
          <w:bCs/>
        </w:rPr>
        <w:t>Mostakbal</w:t>
      </w:r>
      <w:proofErr w:type="spellEnd"/>
      <w:r w:rsidRPr="0019034D">
        <w:rPr>
          <w:b/>
          <w:bCs/>
        </w:rPr>
        <w:t xml:space="preserve"> City. Designed as a vibrant city rather than just a compound, it combines residential, commercial, cultural, and educational zones. It features distinct neighborhoods with apartments, townhouses, twin houses, and standalone villas—all interconnected via green open spaces, water features, and community hubs. The development is structured in phases, offering a holistic, self-contained lifestyle.</w:t>
      </w:r>
    </w:p>
    <w:p w14:paraId="78E02A3B" w14:textId="77777777" w:rsidR="0019034D" w:rsidRPr="0019034D" w:rsidRDefault="0019034D" w:rsidP="0019034D">
      <w:pPr>
        <w:rPr>
          <w:b/>
          <w:bCs/>
        </w:rPr>
      </w:pPr>
      <w:r w:rsidRPr="0019034D">
        <w:rPr>
          <w:b/>
          <w:bCs/>
        </w:rPr>
        <w:pict w14:anchorId="0EE8AFB9">
          <v:rect id="_x0000_i1272" style="width:0;height:1.5pt" o:hralign="center" o:hrstd="t" o:hr="t" fillcolor="#a0a0a0" stroked="f"/>
        </w:pict>
      </w:r>
    </w:p>
    <w:p w14:paraId="4AC12327" w14:textId="77777777" w:rsidR="0019034D" w:rsidRPr="0019034D" w:rsidRDefault="0019034D" w:rsidP="0019034D">
      <w:pPr>
        <w:rPr>
          <w:b/>
          <w:bCs/>
        </w:rPr>
      </w:pPr>
      <w:r w:rsidRPr="0019034D">
        <w:rPr>
          <w:b/>
          <w:bCs/>
        </w:rPr>
        <w:t>Key Info:</w:t>
      </w:r>
    </w:p>
    <w:p w14:paraId="6E6E639C" w14:textId="6282A8F1" w:rsidR="0019034D" w:rsidRPr="0019034D" w:rsidRDefault="0019034D" w:rsidP="0019034D">
      <w:pPr>
        <w:numPr>
          <w:ilvl w:val="0"/>
          <w:numId w:val="14"/>
        </w:numPr>
        <w:rPr>
          <w:b/>
          <w:bCs/>
        </w:rPr>
      </w:pPr>
      <w:r w:rsidRPr="0019034D">
        <w:rPr>
          <w:b/>
          <w:bCs/>
        </w:rPr>
        <w:t xml:space="preserve">Total Area: ~528 acres (including multiple phases) </w:t>
      </w:r>
    </w:p>
    <w:p w14:paraId="1BF04CB6" w14:textId="77777777" w:rsidR="0019034D" w:rsidRPr="0019034D" w:rsidRDefault="0019034D" w:rsidP="0019034D">
      <w:pPr>
        <w:numPr>
          <w:ilvl w:val="0"/>
          <w:numId w:val="14"/>
        </w:numPr>
        <w:rPr>
          <w:b/>
          <w:bCs/>
        </w:rPr>
      </w:pPr>
      <w:r w:rsidRPr="0019034D">
        <w:rPr>
          <w:b/>
          <w:bCs/>
        </w:rPr>
        <w:t xml:space="preserve">Build-up Ratio: Only about 15% built-up, with ~85% dedicated to greenery, plazas, lakes, and communal areas </w:t>
      </w:r>
    </w:p>
    <w:p w14:paraId="6CBBB177" w14:textId="77777777" w:rsidR="0019034D" w:rsidRPr="0019034D" w:rsidRDefault="0019034D" w:rsidP="0019034D">
      <w:pPr>
        <w:numPr>
          <w:ilvl w:val="0"/>
          <w:numId w:val="14"/>
        </w:numPr>
        <w:rPr>
          <w:b/>
          <w:bCs/>
        </w:rPr>
      </w:pPr>
      <w:r w:rsidRPr="0019034D">
        <w:rPr>
          <w:b/>
          <w:bCs/>
        </w:rPr>
        <w:t>Unit Types &amp; Sizes:</w:t>
      </w:r>
    </w:p>
    <w:p w14:paraId="779409C7" w14:textId="77777777" w:rsidR="0019034D" w:rsidRPr="0019034D" w:rsidRDefault="0019034D" w:rsidP="0019034D">
      <w:pPr>
        <w:numPr>
          <w:ilvl w:val="1"/>
          <w:numId w:val="14"/>
        </w:numPr>
        <w:rPr>
          <w:b/>
          <w:bCs/>
        </w:rPr>
      </w:pPr>
      <w:r w:rsidRPr="0019034D">
        <w:rPr>
          <w:b/>
          <w:bCs/>
        </w:rPr>
        <w:t>Apartments: approx. 120–240 m²</w:t>
      </w:r>
    </w:p>
    <w:p w14:paraId="054818B3" w14:textId="77777777" w:rsidR="0019034D" w:rsidRPr="0019034D" w:rsidRDefault="0019034D" w:rsidP="0019034D">
      <w:pPr>
        <w:numPr>
          <w:ilvl w:val="1"/>
          <w:numId w:val="14"/>
        </w:numPr>
        <w:rPr>
          <w:b/>
          <w:bCs/>
        </w:rPr>
      </w:pPr>
      <w:r w:rsidRPr="0019034D">
        <w:rPr>
          <w:b/>
          <w:bCs/>
        </w:rPr>
        <w:t>Townhouses: approx. 275–312 m²</w:t>
      </w:r>
    </w:p>
    <w:p w14:paraId="39E832D1" w14:textId="77777777" w:rsidR="0019034D" w:rsidRPr="0019034D" w:rsidRDefault="0019034D" w:rsidP="0019034D">
      <w:pPr>
        <w:numPr>
          <w:ilvl w:val="1"/>
          <w:numId w:val="14"/>
        </w:numPr>
        <w:rPr>
          <w:b/>
          <w:bCs/>
        </w:rPr>
      </w:pPr>
      <w:r w:rsidRPr="0019034D">
        <w:rPr>
          <w:b/>
          <w:bCs/>
        </w:rPr>
        <w:t>Twin Houses: from ~135 m²</w:t>
      </w:r>
    </w:p>
    <w:p w14:paraId="1BF240B6" w14:textId="6AB13F86" w:rsidR="0019034D" w:rsidRPr="0019034D" w:rsidRDefault="0019034D" w:rsidP="0019034D">
      <w:pPr>
        <w:numPr>
          <w:ilvl w:val="1"/>
          <w:numId w:val="14"/>
        </w:numPr>
        <w:rPr>
          <w:b/>
          <w:bCs/>
        </w:rPr>
      </w:pPr>
      <w:r w:rsidRPr="0019034D">
        <w:rPr>
          <w:b/>
          <w:bCs/>
        </w:rPr>
        <w:t xml:space="preserve">Standalone Villas: from ~500 m² </w:t>
      </w:r>
    </w:p>
    <w:p w14:paraId="37A95637" w14:textId="7BD66473" w:rsidR="0019034D" w:rsidRPr="0019034D" w:rsidRDefault="0019034D" w:rsidP="0019034D">
      <w:pPr>
        <w:numPr>
          <w:ilvl w:val="0"/>
          <w:numId w:val="14"/>
        </w:numPr>
        <w:rPr>
          <w:b/>
          <w:bCs/>
        </w:rPr>
      </w:pPr>
      <w:r w:rsidRPr="0019034D">
        <w:rPr>
          <w:b/>
          <w:bCs/>
        </w:rPr>
        <w:t xml:space="preserve">Payment Plans: Typically 5–10% down payment; up to 7–8 years installments; subject to phase and unit type </w:t>
      </w:r>
    </w:p>
    <w:p w14:paraId="765D5C7C" w14:textId="2CDED677" w:rsidR="0019034D" w:rsidRPr="0019034D" w:rsidRDefault="0019034D" w:rsidP="0019034D">
      <w:pPr>
        <w:numPr>
          <w:ilvl w:val="0"/>
          <w:numId w:val="14"/>
        </w:numPr>
        <w:rPr>
          <w:b/>
          <w:bCs/>
        </w:rPr>
      </w:pPr>
      <w:r w:rsidRPr="0019034D">
        <w:rPr>
          <w:b/>
          <w:bCs/>
        </w:rPr>
        <w:t xml:space="preserve">Delivery Date: </w:t>
      </w:r>
      <w:proofErr w:type="spellStart"/>
      <w:r w:rsidRPr="0019034D">
        <w:rPr>
          <w:b/>
          <w:bCs/>
        </w:rPr>
        <w:t>Odyssia</w:t>
      </w:r>
      <w:proofErr w:type="spellEnd"/>
      <w:r w:rsidRPr="0019034D">
        <w:rPr>
          <w:b/>
          <w:bCs/>
        </w:rPr>
        <w:t xml:space="preserve"> | Rare expected 2028; initial phase apartments around December 2025 </w:t>
      </w:r>
    </w:p>
    <w:p w14:paraId="3B216EA7" w14:textId="1AC46D11" w:rsidR="00C85361" w:rsidRPr="0019034D" w:rsidRDefault="00C85361" w:rsidP="0019034D">
      <w:pPr>
        <w:rPr>
          <w:rtl/>
          <w:lang w:bidi="ar-EG"/>
        </w:rPr>
      </w:pPr>
    </w:p>
    <w:sectPr w:rsidR="00C85361" w:rsidRPr="00190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7BED"/>
    <w:multiLevelType w:val="multilevel"/>
    <w:tmpl w:val="1CA8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C3539"/>
    <w:multiLevelType w:val="multilevel"/>
    <w:tmpl w:val="0182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20542"/>
    <w:multiLevelType w:val="multilevel"/>
    <w:tmpl w:val="CCAC7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D2C96"/>
    <w:multiLevelType w:val="multilevel"/>
    <w:tmpl w:val="4B72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B51C6"/>
    <w:multiLevelType w:val="multilevel"/>
    <w:tmpl w:val="C00E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D1F45"/>
    <w:multiLevelType w:val="multilevel"/>
    <w:tmpl w:val="B252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B1099"/>
    <w:multiLevelType w:val="multilevel"/>
    <w:tmpl w:val="C8F6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907F6"/>
    <w:multiLevelType w:val="multilevel"/>
    <w:tmpl w:val="55BCA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E5607"/>
    <w:multiLevelType w:val="multilevel"/>
    <w:tmpl w:val="0EDC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960FF"/>
    <w:multiLevelType w:val="multilevel"/>
    <w:tmpl w:val="AEF09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14B3C"/>
    <w:multiLevelType w:val="multilevel"/>
    <w:tmpl w:val="F924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EB7C1A"/>
    <w:multiLevelType w:val="multilevel"/>
    <w:tmpl w:val="9EEC4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A15787"/>
    <w:multiLevelType w:val="multilevel"/>
    <w:tmpl w:val="4D6A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B964A6"/>
    <w:multiLevelType w:val="multilevel"/>
    <w:tmpl w:val="F73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740835">
    <w:abstractNumId w:val="8"/>
  </w:num>
  <w:num w:numId="2" w16cid:durableId="245384012">
    <w:abstractNumId w:val="12"/>
  </w:num>
  <w:num w:numId="3" w16cid:durableId="2079084155">
    <w:abstractNumId w:val="1"/>
  </w:num>
  <w:num w:numId="4" w16cid:durableId="1673680115">
    <w:abstractNumId w:val="13"/>
  </w:num>
  <w:num w:numId="5" w16cid:durableId="1309700835">
    <w:abstractNumId w:val="4"/>
  </w:num>
  <w:num w:numId="6" w16cid:durableId="268465499">
    <w:abstractNumId w:val="0"/>
  </w:num>
  <w:num w:numId="7" w16cid:durableId="293800247">
    <w:abstractNumId w:val="10"/>
  </w:num>
  <w:num w:numId="8" w16cid:durableId="431826896">
    <w:abstractNumId w:val="6"/>
  </w:num>
  <w:num w:numId="9" w16cid:durableId="2013678216">
    <w:abstractNumId w:val="3"/>
  </w:num>
  <w:num w:numId="10" w16cid:durableId="1768428148">
    <w:abstractNumId w:val="11"/>
  </w:num>
  <w:num w:numId="11" w16cid:durableId="312416326">
    <w:abstractNumId w:val="7"/>
  </w:num>
  <w:num w:numId="12" w16cid:durableId="1674724806">
    <w:abstractNumId w:val="5"/>
  </w:num>
  <w:num w:numId="13" w16cid:durableId="773986477">
    <w:abstractNumId w:val="2"/>
  </w:num>
  <w:num w:numId="14" w16cid:durableId="14671671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FB"/>
    <w:rsid w:val="00076961"/>
    <w:rsid w:val="000A370F"/>
    <w:rsid w:val="000E3B95"/>
    <w:rsid w:val="000E7AD1"/>
    <w:rsid w:val="0019034D"/>
    <w:rsid w:val="00295B6F"/>
    <w:rsid w:val="003C3BE2"/>
    <w:rsid w:val="003F42FB"/>
    <w:rsid w:val="00705760"/>
    <w:rsid w:val="00832094"/>
    <w:rsid w:val="00A82B41"/>
    <w:rsid w:val="00C70D97"/>
    <w:rsid w:val="00C85282"/>
    <w:rsid w:val="00C85361"/>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A7DD"/>
  <w15:chartTrackingRefBased/>
  <w15:docId w15:val="{FD4BF082-DE01-478C-9AEB-11E0BC71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2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2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2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2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2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2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2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2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2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2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2FB"/>
    <w:rPr>
      <w:rFonts w:eastAsiaTheme="majorEastAsia" w:cstheme="majorBidi"/>
      <w:color w:val="272727" w:themeColor="text1" w:themeTint="D8"/>
    </w:rPr>
  </w:style>
  <w:style w:type="paragraph" w:styleId="Title">
    <w:name w:val="Title"/>
    <w:basedOn w:val="Normal"/>
    <w:next w:val="Normal"/>
    <w:link w:val="TitleChar"/>
    <w:uiPriority w:val="10"/>
    <w:qFormat/>
    <w:rsid w:val="003F4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2FB"/>
    <w:pPr>
      <w:spacing w:before="160"/>
      <w:jc w:val="center"/>
    </w:pPr>
    <w:rPr>
      <w:i/>
      <w:iCs/>
      <w:color w:val="404040" w:themeColor="text1" w:themeTint="BF"/>
    </w:rPr>
  </w:style>
  <w:style w:type="character" w:customStyle="1" w:styleId="QuoteChar">
    <w:name w:val="Quote Char"/>
    <w:basedOn w:val="DefaultParagraphFont"/>
    <w:link w:val="Quote"/>
    <w:uiPriority w:val="29"/>
    <w:rsid w:val="003F42FB"/>
    <w:rPr>
      <w:i/>
      <w:iCs/>
      <w:color w:val="404040" w:themeColor="text1" w:themeTint="BF"/>
    </w:rPr>
  </w:style>
  <w:style w:type="paragraph" w:styleId="ListParagraph">
    <w:name w:val="List Paragraph"/>
    <w:basedOn w:val="Normal"/>
    <w:uiPriority w:val="34"/>
    <w:qFormat/>
    <w:rsid w:val="003F42FB"/>
    <w:pPr>
      <w:ind w:left="720"/>
      <w:contextualSpacing/>
    </w:pPr>
  </w:style>
  <w:style w:type="character" w:styleId="IntenseEmphasis">
    <w:name w:val="Intense Emphasis"/>
    <w:basedOn w:val="DefaultParagraphFont"/>
    <w:uiPriority w:val="21"/>
    <w:qFormat/>
    <w:rsid w:val="003F42FB"/>
    <w:rPr>
      <w:i/>
      <w:iCs/>
      <w:color w:val="2F5496" w:themeColor="accent1" w:themeShade="BF"/>
    </w:rPr>
  </w:style>
  <w:style w:type="paragraph" w:styleId="IntenseQuote">
    <w:name w:val="Intense Quote"/>
    <w:basedOn w:val="Normal"/>
    <w:next w:val="Normal"/>
    <w:link w:val="IntenseQuoteChar"/>
    <w:uiPriority w:val="30"/>
    <w:qFormat/>
    <w:rsid w:val="003F42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2FB"/>
    <w:rPr>
      <w:i/>
      <w:iCs/>
      <w:color w:val="2F5496" w:themeColor="accent1" w:themeShade="BF"/>
    </w:rPr>
  </w:style>
  <w:style w:type="character" w:styleId="IntenseReference">
    <w:name w:val="Intense Reference"/>
    <w:basedOn w:val="DefaultParagraphFont"/>
    <w:uiPriority w:val="32"/>
    <w:qFormat/>
    <w:rsid w:val="003F42FB"/>
    <w:rPr>
      <w:b/>
      <w:bCs/>
      <w:smallCaps/>
      <w:color w:val="2F5496" w:themeColor="accent1" w:themeShade="BF"/>
      <w:spacing w:val="5"/>
    </w:rPr>
  </w:style>
  <w:style w:type="character" w:styleId="Hyperlink">
    <w:name w:val="Hyperlink"/>
    <w:basedOn w:val="DefaultParagraphFont"/>
    <w:uiPriority w:val="99"/>
    <w:unhideWhenUsed/>
    <w:rsid w:val="00832094"/>
    <w:rPr>
      <w:color w:val="0563C1" w:themeColor="hyperlink"/>
      <w:u w:val="single"/>
    </w:rPr>
  </w:style>
  <w:style w:type="character" w:styleId="UnresolvedMention">
    <w:name w:val="Unresolved Mention"/>
    <w:basedOn w:val="DefaultParagraphFont"/>
    <w:uiPriority w:val="99"/>
    <w:semiHidden/>
    <w:unhideWhenUsed/>
    <w:rsid w:val="00832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9434">
      <w:bodyDiv w:val="1"/>
      <w:marLeft w:val="0"/>
      <w:marRight w:val="0"/>
      <w:marTop w:val="0"/>
      <w:marBottom w:val="0"/>
      <w:divBdr>
        <w:top w:val="none" w:sz="0" w:space="0" w:color="auto"/>
        <w:left w:val="none" w:sz="0" w:space="0" w:color="auto"/>
        <w:bottom w:val="none" w:sz="0" w:space="0" w:color="auto"/>
        <w:right w:val="none" w:sz="0" w:space="0" w:color="auto"/>
      </w:divBdr>
    </w:div>
    <w:div w:id="47147585">
      <w:bodyDiv w:val="1"/>
      <w:marLeft w:val="0"/>
      <w:marRight w:val="0"/>
      <w:marTop w:val="0"/>
      <w:marBottom w:val="0"/>
      <w:divBdr>
        <w:top w:val="none" w:sz="0" w:space="0" w:color="auto"/>
        <w:left w:val="none" w:sz="0" w:space="0" w:color="auto"/>
        <w:bottom w:val="none" w:sz="0" w:space="0" w:color="auto"/>
        <w:right w:val="none" w:sz="0" w:space="0" w:color="auto"/>
      </w:divBdr>
    </w:div>
    <w:div w:id="284049150">
      <w:bodyDiv w:val="1"/>
      <w:marLeft w:val="0"/>
      <w:marRight w:val="0"/>
      <w:marTop w:val="0"/>
      <w:marBottom w:val="0"/>
      <w:divBdr>
        <w:top w:val="none" w:sz="0" w:space="0" w:color="auto"/>
        <w:left w:val="none" w:sz="0" w:space="0" w:color="auto"/>
        <w:bottom w:val="none" w:sz="0" w:space="0" w:color="auto"/>
        <w:right w:val="none" w:sz="0" w:space="0" w:color="auto"/>
      </w:divBdr>
    </w:div>
    <w:div w:id="326326368">
      <w:bodyDiv w:val="1"/>
      <w:marLeft w:val="0"/>
      <w:marRight w:val="0"/>
      <w:marTop w:val="0"/>
      <w:marBottom w:val="0"/>
      <w:divBdr>
        <w:top w:val="none" w:sz="0" w:space="0" w:color="auto"/>
        <w:left w:val="none" w:sz="0" w:space="0" w:color="auto"/>
        <w:bottom w:val="none" w:sz="0" w:space="0" w:color="auto"/>
        <w:right w:val="none" w:sz="0" w:space="0" w:color="auto"/>
      </w:divBdr>
    </w:div>
    <w:div w:id="614596930">
      <w:bodyDiv w:val="1"/>
      <w:marLeft w:val="0"/>
      <w:marRight w:val="0"/>
      <w:marTop w:val="0"/>
      <w:marBottom w:val="0"/>
      <w:divBdr>
        <w:top w:val="none" w:sz="0" w:space="0" w:color="auto"/>
        <w:left w:val="none" w:sz="0" w:space="0" w:color="auto"/>
        <w:bottom w:val="none" w:sz="0" w:space="0" w:color="auto"/>
        <w:right w:val="none" w:sz="0" w:space="0" w:color="auto"/>
      </w:divBdr>
    </w:div>
    <w:div w:id="694576353">
      <w:bodyDiv w:val="1"/>
      <w:marLeft w:val="0"/>
      <w:marRight w:val="0"/>
      <w:marTop w:val="0"/>
      <w:marBottom w:val="0"/>
      <w:divBdr>
        <w:top w:val="none" w:sz="0" w:space="0" w:color="auto"/>
        <w:left w:val="none" w:sz="0" w:space="0" w:color="auto"/>
        <w:bottom w:val="none" w:sz="0" w:space="0" w:color="auto"/>
        <w:right w:val="none" w:sz="0" w:space="0" w:color="auto"/>
      </w:divBdr>
    </w:div>
    <w:div w:id="734738631">
      <w:bodyDiv w:val="1"/>
      <w:marLeft w:val="0"/>
      <w:marRight w:val="0"/>
      <w:marTop w:val="0"/>
      <w:marBottom w:val="0"/>
      <w:divBdr>
        <w:top w:val="none" w:sz="0" w:space="0" w:color="auto"/>
        <w:left w:val="none" w:sz="0" w:space="0" w:color="auto"/>
        <w:bottom w:val="none" w:sz="0" w:space="0" w:color="auto"/>
        <w:right w:val="none" w:sz="0" w:space="0" w:color="auto"/>
      </w:divBdr>
    </w:div>
    <w:div w:id="839126982">
      <w:bodyDiv w:val="1"/>
      <w:marLeft w:val="0"/>
      <w:marRight w:val="0"/>
      <w:marTop w:val="0"/>
      <w:marBottom w:val="0"/>
      <w:divBdr>
        <w:top w:val="none" w:sz="0" w:space="0" w:color="auto"/>
        <w:left w:val="none" w:sz="0" w:space="0" w:color="auto"/>
        <w:bottom w:val="none" w:sz="0" w:space="0" w:color="auto"/>
        <w:right w:val="none" w:sz="0" w:space="0" w:color="auto"/>
      </w:divBdr>
    </w:div>
    <w:div w:id="885917771">
      <w:bodyDiv w:val="1"/>
      <w:marLeft w:val="0"/>
      <w:marRight w:val="0"/>
      <w:marTop w:val="0"/>
      <w:marBottom w:val="0"/>
      <w:divBdr>
        <w:top w:val="none" w:sz="0" w:space="0" w:color="auto"/>
        <w:left w:val="none" w:sz="0" w:space="0" w:color="auto"/>
        <w:bottom w:val="none" w:sz="0" w:space="0" w:color="auto"/>
        <w:right w:val="none" w:sz="0" w:space="0" w:color="auto"/>
      </w:divBdr>
    </w:div>
    <w:div w:id="944581258">
      <w:bodyDiv w:val="1"/>
      <w:marLeft w:val="0"/>
      <w:marRight w:val="0"/>
      <w:marTop w:val="0"/>
      <w:marBottom w:val="0"/>
      <w:divBdr>
        <w:top w:val="none" w:sz="0" w:space="0" w:color="auto"/>
        <w:left w:val="none" w:sz="0" w:space="0" w:color="auto"/>
        <w:bottom w:val="none" w:sz="0" w:space="0" w:color="auto"/>
        <w:right w:val="none" w:sz="0" w:space="0" w:color="auto"/>
      </w:divBdr>
    </w:div>
    <w:div w:id="997196695">
      <w:bodyDiv w:val="1"/>
      <w:marLeft w:val="0"/>
      <w:marRight w:val="0"/>
      <w:marTop w:val="0"/>
      <w:marBottom w:val="0"/>
      <w:divBdr>
        <w:top w:val="none" w:sz="0" w:space="0" w:color="auto"/>
        <w:left w:val="none" w:sz="0" w:space="0" w:color="auto"/>
        <w:bottom w:val="none" w:sz="0" w:space="0" w:color="auto"/>
        <w:right w:val="none" w:sz="0" w:space="0" w:color="auto"/>
      </w:divBdr>
    </w:div>
    <w:div w:id="1193958997">
      <w:bodyDiv w:val="1"/>
      <w:marLeft w:val="0"/>
      <w:marRight w:val="0"/>
      <w:marTop w:val="0"/>
      <w:marBottom w:val="0"/>
      <w:divBdr>
        <w:top w:val="none" w:sz="0" w:space="0" w:color="auto"/>
        <w:left w:val="none" w:sz="0" w:space="0" w:color="auto"/>
        <w:bottom w:val="none" w:sz="0" w:space="0" w:color="auto"/>
        <w:right w:val="none" w:sz="0" w:space="0" w:color="auto"/>
      </w:divBdr>
    </w:div>
    <w:div w:id="1234194530">
      <w:bodyDiv w:val="1"/>
      <w:marLeft w:val="0"/>
      <w:marRight w:val="0"/>
      <w:marTop w:val="0"/>
      <w:marBottom w:val="0"/>
      <w:divBdr>
        <w:top w:val="none" w:sz="0" w:space="0" w:color="auto"/>
        <w:left w:val="none" w:sz="0" w:space="0" w:color="auto"/>
        <w:bottom w:val="none" w:sz="0" w:space="0" w:color="auto"/>
        <w:right w:val="none" w:sz="0" w:space="0" w:color="auto"/>
      </w:divBdr>
    </w:div>
    <w:div w:id="1312369746">
      <w:bodyDiv w:val="1"/>
      <w:marLeft w:val="0"/>
      <w:marRight w:val="0"/>
      <w:marTop w:val="0"/>
      <w:marBottom w:val="0"/>
      <w:divBdr>
        <w:top w:val="none" w:sz="0" w:space="0" w:color="auto"/>
        <w:left w:val="none" w:sz="0" w:space="0" w:color="auto"/>
        <w:bottom w:val="none" w:sz="0" w:space="0" w:color="auto"/>
        <w:right w:val="none" w:sz="0" w:space="0" w:color="auto"/>
      </w:divBdr>
    </w:div>
    <w:div w:id="1500005122">
      <w:bodyDiv w:val="1"/>
      <w:marLeft w:val="0"/>
      <w:marRight w:val="0"/>
      <w:marTop w:val="0"/>
      <w:marBottom w:val="0"/>
      <w:divBdr>
        <w:top w:val="none" w:sz="0" w:space="0" w:color="auto"/>
        <w:left w:val="none" w:sz="0" w:space="0" w:color="auto"/>
        <w:bottom w:val="none" w:sz="0" w:space="0" w:color="auto"/>
        <w:right w:val="none" w:sz="0" w:space="0" w:color="auto"/>
      </w:divBdr>
    </w:div>
    <w:div w:id="1523857031">
      <w:bodyDiv w:val="1"/>
      <w:marLeft w:val="0"/>
      <w:marRight w:val="0"/>
      <w:marTop w:val="0"/>
      <w:marBottom w:val="0"/>
      <w:divBdr>
        <w:top w:val="none" w:sz="0" w:space="0" w:color="auto"/>
        <w:left w:val="none" w:sz="0" w:space="0" w:color="auto"/>
        <w:bottom w:val="none" w:sz="0" w:space="0" w:color="auto"/>
        <w:right w:val="none" w:sz="0" w:space="0" w:color="auto"/>
      </w:divBdr>
    </w:div>
    <w:div w:id="1682968103">
      <w:bodyDiv w:val="1"/>
      <w:marLeft w:val="0"/>
      <w:marRight w:val="0"/>
      <w:marTop w:val="0"/>
      <w:marBottom w:val="0"/>
      <w:divBdr>
        <w:top w:val="none" w:sz="0" w:space="0" w:color="auto"/>
        <w:left w:val="none" w:sz="0" w:space="0" w:color="auto"/>
        <w:bottom w:val="none" w:sz="0" w:space="0" w:color="auto"/>
        <w:right w:val="none" w:sz="0" w:space="0" w:color="auto"/>
      </w:divBdr>
    </w:div>
    <w:div w:id="1963803607">
      <w:bodyDiv w:val="1"/>
      <w:marLeft w:val="0"/>
      <w:marRight w:val="0"/>
      <w:marTop w:val="0"/>
      <w:marBottom w:val="0"/>
      <w:divBdr>
        <w:top w:val="none" w:sz="0" w:space="0" w:color="auto"/>
        <w:left w:val="none" w:sz="0" w:space="0" w:color="auto"/>
        <w:bottom w:val="none" w:sz="0" w:space="0" w:color="auto"/>
        <w:right w:val="none" w:sz="0" w:space="0" w:color="auto"/>
      </w:divBdr>
    </w:div>
    <w:div w:id="2003578448">
      <w:bodyDiv w:val="1"/>
      <w:marLeft w:val="0"/>
      <w:marRight w:val="0"/>
      <w:marTop w:val="0"/>
      <w:marBottom w:val="0"/>
      <w:divBdr>
        <w:top w:val="none" w:sz="0" w:space="0" w:color="auto"/>
        <w:left w:val="none" w:sz="0" w:space="0" w:color="auto"/>
        <w:bottom w:val="none" w:sz="0" w:space="0" w:color="auto"/>
        <w:right w:val="none" w:sz="0" w:space="0" w:color="auto"/>
      </w:divBdr>
    </w:div>
    <w:div w:id="208332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2025-06-29T10:09:00Z</dcterms:created>
  <dcterms:modified xsi:type="dcterms:W3CDTF">2025-06-29T10:09:00Z</dcterms:modified>
</cp:coreProperties>
</file>