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D007C" w14:textId="77777777" w:rsidR="005A1992" w:rsidRPr="005A1992" w:rsidRDefault="005A1992" w:rsidP="005A1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19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Capital Way New Capital</w:t>
      </w:r>
    </w:p>
    <w:p w14:paraId="0D387ED9" w14:textId="77777777" w:rsidR="005A1992" w:rsidRPr="005A1992" w:rsidRDefault="005A1992" w:rsidP="005A1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992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5A1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A19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District:</w:t>
      </w:r>
      <w:r w:rsidRPr="005A1992">
        <w:rPr>
          <w:rFonts w:ascii="Times New Roman" w:eastAsia="Times New Roman" w:hAnsi="Times New Roman" w:cs="Times New Roman"/>
          <w:kern w:val="0"/>
          <w14:ligatures w14:val="none"/>
        </w:rPr>
        <w:t xml:space="preserve"> R7, New Administrative Capital</w:t>
      </w:r>
    </w:p>
    <w:p w14:paraId="4B671097" w14:textId="4D2BCE2D" w:rsidR="005A1992" w:rsidRPr="005A1992" w:rsidRDefault="005A1992" w:rsidP="005A1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9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 (English):</w:t>
      </w:r>
      <w:r w:rsidRPr="005A199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199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Capital Way</w:t>
      </w:r>
      <w:r w:rsidRPr="005A1992">
        <w:rPr>
          <w:rFonts w:ascii="Times New Roman" w:eastAsia="Times New Roman" w:hAnsi="Times New Roman" w:cs="Times New Roman"/>
          <w:kern w:val="0"/>
          <w14:ligatures w14:val="none"/>
        </w:rPr>
        <w:t xml:space="preserve"> by The Waterway Developments is a premium mixed-use residential community in the heart of the New Capital. It spans approximately </w:t>
      </w:r>
      <w:r w:rsidRPr="005A19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42 acres</w:t>
      </w:r>
      <w:r w:rsidRPr="005A1992">
        <w:rPr>
          <w:rFonts w:ascii="Times New Roman" w:eastAsia="Times New Roman" w:hAnsi="Times New Roman" w:cs="Times New Roman"/>
          <w:kern w:val="0"/>
          <w14:ligatures w14:val="none"/>
        </w:rPr>
        <w:t xml:space="preserve">, with only </w:t>
      </w:r>
      <w:r w:rsidRPr="005A19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20% built-up</w:t>
      </w:r>
      <w:r w:rsidRPr="005A1992">
        <w:rPr>
          <w:rFonts w:ascii="Times New Roman" w:eastAsia="Times New Roman" w:hAnsi="Times New Roman" w:cs="Times New Roman"/>
          <w:kern w:val="0"/>
          <w14:ligatures w14:val="none"/>
        </w:rPr>
        <w:t xml:space="preserve">, ensuring the rest remains as lush landscaped gardens and water features </w:t>
      </w:r>
    </w:p>
    <w:p w14:paraId="4BF44ED1" w14:textId="7B53CC90" w:rsidR="005A1992" w:rsidRPr="005A1992" w:rsidRDefault="005A1992" w:rsidP="005A1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992">
        <w:rPr>
          <w:rFonts w:ascii="Times New Roman" w:eastAsia="Times New Roman" w:hAnsi="Times New Roman" w:cs="Times New Roman"/>
          <w:kern w:val="0"/>
          <w14:ligatures w14:val="none"/>
        </w:rPr>
        <w:t xml:space="preserve">The compound offers a range of fully finished apartments, duplexes, and penthouses between </w:t>
      </w:r>
      <w:r w:rsidRPr="005A19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90 m² and 283 m²</w:t>
      </w:r>
      <w:r w:rsidRPr="005A1992">
        <w:rPr>
          <w:rFonts w:ascii="Times New Roman" w:eastAsia="Times New Roman" w:hAnsi="Times New Roman" w:cs="Times New Roman"/>
          <w:kern w:val="0"/>
          <w14:ligatures w14:val="none"/>
        </w:rPr>
        <w:t xml:space="preserve">, all equipped with modern air-condition systems. Designed around the New Capital’s signature “Green River” park, the master plan integrates residential, commercial, and recreational areas—including a clubhouse, retail promenade, spa, gym, pools, jogging tracks, and 24/7 security </w:t>
      </w:r>
    </w:p>
    <w:p w14:paraId="76807938" w14:textId="77777777" w:rsidR="005A1992" w:rsidRPr="005A1992" w:rsidRDefault="005A1992" w:rsidP="005A1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9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Info:</w:t>
      </w:r>
    </w:p>
    <w:p w14:paraId="39B75C9E" w14:textId="58DB9FF4" w:rsidR="005A1992" w:rsidRPr="005A1992" w:rsidRDefault="005A1992" w:rsidP="005A1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9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Price:</w:t>
      </w:r>
      <w:r w:rsidRPr="005A1992">
        <w:rPr>
          <w:rFonts w:ascii="Times New Roman" w:eastAsia="Times New Roman" w:hAnsi="Times New Roman" w:cs="Times New Roman"/>
          <w:kern w:val="0"/>
          <w14:ligatures w14:val="none"/>
        </w:rPr>
        <w:t xml:space="preserve"> From ~3.6 million EGP for a 90 m² apartment </w:t>
      </w:r>
    </w:p>
    <w:p w14:paraId="4A68FC3B" w14:textId="77777777" w:rsidR="005A1992" w:rsidRPr="005A1992" w:rsidRDefault="005A1992" w:rsidP="005A1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9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 Payment:</w:t>
      </w:r>
      <w:r w:rsidRPr="005A1992">
        <w:rPr>
          <w:rFonts w:ascii="Times New Roman" w:eastAsia="Times New Roman" w:hAnsi="Times New Roman" w:cs="Times New Roman"/>
          <w:kern w:val="0"/>
          <w14:ligatures w14:val="none"/>
        </w:rPr>
        <w:t xml:space="preserve"> 10%</w:t>
      </w:r>
    </w:p>
    <w:p w14:paraId="38A12D50" w14:textId="7C94465A" w:rsidR="005A1992" w:rsidRPr="005A1992" w:rsidRDefault="005A1992" w:rsidP="005A1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9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Installments:</w:t>
      </w:r>
      <w:r w:rsidRPr="005A1992">
        <w:rPr>
          <w:rFonts w:ascii="Times New Roman" w:eastAsia="Times New Roman" w:hAnsi="Times New Roman" w:cs="Times New Roman"/>
          <w:kern w:val="0"/>
          <w14:ligatures w14:val="none"/>
        </w:rPr>
        <w:t xml:space="preserve"> Up to 6 years </w:t>
      </w:r>
    </w:p>
    <w:p w14:paraId="1A5433A7" w14:textId="77777777" w:rsidR="005A1992" w:rsidRDefault="005A1992" w:rsidP="005A1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9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Delivery:</w:t>
      </w:r>
      <w:r w:rsidRPr="005A1992">
        <w:rPr>
          <w:rFonts w:ascii="Times New Roman" w:eastAsia="Times New Roman" w:hAnsi="Times New Roman" w:cs="Times New Roman"/>
          <w:kern w:val="0"/>
          <w14:ligatures w14:val="none"/>
        </w:rPr>
        <w:t xml:space="preserve"> Completed Q1 2023; arrangements extend to 2025</w:t>
      </w:r>
    </w:p>
    <w:p w14:paraId="64D6654C" w14:textId="77777777" w:rsidR="005A1992" w:rsidRPr="005A1992" w:rsidRDefault="005A1992" w:rsidP="005A1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7795AC" w14:textId="77777777" w:rsidR="00C85361" w:rsidRPr="005A1992" w:rsidRDefault="00C85361" w:rsidP="005A1992"/>
    <w:sectPr w:rsidR="00C85361" w:rsidRPr="005A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72D68"/>
    <w:multiLevelType w:val="multilevel"/>
    <w:tmpl w:val="709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F0B2C"/>
    <w:multiLevelType w:val="multilevel"/>
    <w:tmpl w:val="7950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52568"/>
    <w:multiLevelType w:val="multilevel"/>
    <w:tmpl w:val="733C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279DE"/>
    <w:multiLevelType w:val="multilevel"/>
    <w:tmpl w:val="3B32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C678A"/>
    <w:multiLevelType w:val="multilevel"/>
    <w:tmpl w:val="EC7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43874"/>
    <w:multiLevelType w:val="multilevel"/>
    <w:tmpl w:val="0F2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017B9"/>
    <w:multiLevelType w:val="multilevel"/>
    <w:tmpl w:val="8850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95365">
    <w:abstractNumId w:val="3"/>
  </w:num>
  <w:num w:numId="2" w16cid:durableId="814756153">
    <w:abstractNumId w:val="4"/>
  </w:num>
  <w:num w:numId="3" w16cid:durableId="1851724453">
    <w:abstractNumId w:val="5"/>
  </w:num>
  <w:num w:numId="4" w16cid:durableId="1514568450">
    <w:abstractNumId w:val="0"/>
  </w:num>
  <w:num w:numId="5" w16cid:durableId="1508250584">
    <w:abstractNumId w:val="2"/>
  </w:num>
  <w:num w:numId="6" w16cid:durableId="316228084">
    <w:abstractNumId w:val="6"/>
  </w:num>
  <w:num w:numId="7" w16cid:durableId="88402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7D"/>
    <w:rsid w:val="00076961"/>
    <w:rsid w:val="001951CC"/>
    <w:rsid w:val="00295B6F"/>
    <w:rsid w:val="005A1992"/>
    <w:rsid w:val="009D6405"/>
    <w:rsid w:val="00C85282"/>
    <w:rsid w:val="00C85361"/>
    <w:rsid w:val="00D7117D"/>
    <w:rsid w:val="00F3593A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520A"/>
  <w15:chartTrackingRefBased/>
  <w15:docId w15:val="{8DEFEFF5-F889-454A-B3FE-87D390E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1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2025-06-27T23:56:00Z</dcterms:created>
  <dcterms:modified xsi:type="dcterms:W3CDTF">2025-06-27T23:56:00Z</dcterms:modified>
</cp:coreProperties>
</file>