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z w:val="32"/>
          <w:szCs w:val="32"/>
        </w:rPr>
        <w:t xml:space="preserve">แผนกิจกรรมภายใต้โครงการส่งเสริมสุขภาพวัยทำงาน เตรียมพร้อมสู่การเป็นผู้สูงอายุสุขภาพดี ปีงบประมาณ 2570</w:t>
      </w:r>
    </w:p>
    <w:p>
      <w:pPr>
        <w:spacing w:after="200"/>
        <w:jc w:val="center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8"/>
          <w:szCs w:val="28"/>
        </w:rPr>
        <w:t xml:space="preserve">ศูนย์อนามัยที่ 2 พิษณุโลก (ทางเลือก : ไม่เลี้ยงอาหารเย็น / เป้าหมาย 100 คน พักค้างคืน 50 คน)</w:t>
      </w:r>
    </w:p>
    <w:p>
      <w:pPr>
        <w:spacing w:after="120" w:before="24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ชื่อกิจกรรม</w:t>
      </w:r>
    </w:p>
    <w:p>
      <w:pPr>
        <w:spacing w:after="12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z w:val="32"/>
          <w:szCs w:val="32"/>
        </w:rPr>
        <w:t xml:space="preserve">ประชุมเชิงปฏิบัติการพัฒนาศักยภาพบุคลากร/แกนนำสุขภาพ ด้านการส่งเสริมสุขภาพ การปรับเปลี่ยนพฤติกรรมสุขภาพ และการจัดสิ่งแวดล้อมที่เอื้อต่อการมีสุขภาพดี</w:t>
      </w:r>
    </w:p>
    <w:p>
      <w:pPr>
        <w:spacing w:after="120" w:before="24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1. หลักการและเหตุผล</w:t>
      </w:r>
    </w:p>
    <w:p>
      <w:pPr>
        <w:spacing w:after="12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จากสถานการณ์สุขภาพวัยทำงานที่เผชิญปัญหาโรคไม่ติดต่อเรื้อรัง (NCDs) ภาวะอ้วน พฤติกรรมการบริโภคและกิจกรรมทางกายที่ไม่เพียงพอ การขับเคลื่อนงานส่งเสริมสุขภาพในระดับพื้นที่จำเป็นต้องอาศัยบุคลากรและแกนนำสุขภาพที่มีความรู้ ความเข้าใจ และทักษะในการดำเนินงานอย่างเป็นระบบ ทั้งด้านการส่งเสริมสุขภาพ การปรับเปลี่ยนพฤติกรรมสุขภาพ และการจัดสิ่งแวดล้อมที่เอื้อต่อการมีสุขภาพดี ศูนย์อนามัยที่ 2 พิษณุโลก จึงจัดประชุมเชิงปฏิบัติการเพื่อพัฒนาศักยภาพบุคลากร/แกนนำสุขภาพ ให้สามารถนำความรู้ไปประยุกต์ใช้และขยายผลในพื้นที่รับผิดชอบต่อไป</w:t>
      </w:r>
    </w:p>
    <w:p>
      <w:pPr>
        <w:spacing w:after="120" w:before="24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2. วัตถุประสงค์</w:t>
      </w:r>
    </w:p>
    <w:p>
      <w:pPr>
        <w:spacing w:after="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2.1 เพื่อพัฒนาศักยภาพบุคลากร/แกนนำสุขภาพให้มีความรู้ความเข้าใจแนวทางการส่งเสริมสุขภาพและการปรับเปลี่ยนพฤติกรรมสุขภาพวัยทำงาน</w:t>
      </w:r>
    </w:p>
    <w:p>
      <w:pPr>
        <w:spacing w:after="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2.2 เพื่อสร้างทักษะการจัดสิ่งแวดล้อมในองค์กร/พื้นที่ให้เอื้อต่อการมีสุขภาพดี</w:t>
      </w:r>
    </w:p>
    <w:p>
      <w:pPr>
        <w:spacing w:after="12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2.3 เพื่อสร้างและขยายเครือข่ายแกนนำสุขภาพในการขับเคลื่อนงานส่งเสริมสุขภาพระดับพื้นที่</w:t>
      </w:r>
    </w:p>
    <w:p>
      <w:pPr>
        <w:spacing w:after="120" w:before="24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3. กลุ่มเป้าหมาย</w:t>
      </w:r>
    </w:p>
    <w:p>
      <w:pPr>
        <w:spacing w:after="12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บุคลากรสาธารณสุข/แกนนำสุขภาพ ในพื้นที่รับผิดชอบ จำนวน 100 คน (รวมเจ้าหน้าที่ผู้จัดและวิทยากร) โดยมีผู้พักค้างคืน 50 คน</w:t>
      </w:r>
    </w:p>
    <w:p>
      <w:pPr>
        <w:spacing w:after="120" w:before="24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4. รูปแบบการจัดกิจกรรม</w:t>
      </w:r>
    </w:p>
    <w:p>
      <w:pPr>
        <w:spacing w:after="12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ประชุมเชิงปฏิบัติการ (บรรยาย + Workshop กลุ่มย่อย) ระยะเวลา 2 วัน 1 คืน ณ โรงแรม ไม่เลี้ยงอาหารเย็น</w:t>
      </w:r>
    </w:p>
    <w:p>
      <w:pPr>
        <w:spacing w:after="120" w:before="24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5. กำหนดการ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50"/>
      </w:tblGrid>
      <w:tr>
        <w:tc>
          <w:tcPr>
            <w:tcW w:type="dxa" w:w="22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เวลา</w:t>
            </w:r>
          </w:p>
        </w:tc>
        <w:tc>
          <w:tcPr>
            <w:tcW w:type="dxa" w:w="715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กิจกรรม</w:t>
            </w:r>
          </w:p>
        </w:tc>
      </w:tr>
      <w:tr>
        <w:tc>
          <w:tcPr>
            <w:tcW w:type="dxa" w:w="9350"/>
            <w:gridSpan w:val="2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วันที่ 1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08.30 – 09.00 น.</w:t>
            </w:r>
          </w:p>
        </w:tc>
        <w:tc>
          <w:tcPr>
            <w:tcW w:type="dxa" w:w="7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ลงทะเบียน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09.00 – 09.15 น.</w:t>
            </w:r>
          </w:p>
        </w:tc>
        <w:tc>
          <w:tcPr>
            <w:tcW w:type="dxa" w:w="7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พิธีเปิดการประชุมเชิงปฏิบัติการ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09.15 – 12.00 น.</w:t>
            </w:r>
          </w:p>
        </w:tc>
        <w:tc>
          <w:tcPr>
            <w:tcW w:type="dxa" w:w="7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บรรยาย เรื่อง แนวทางการส่งเสริมสุขภาพและการปรับเปลี่ยนพฤติกรรมสุขภาพวัยทำงาน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12.00 – 13.00 น.</w:t>
            </w:r>
          </w:p>
        </w:tc>
        <w:tc>
          <w:tcPr>
            <w:tcW w:type="dxa" w:w="7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รับประทานอาหารกลางวัน (มื้อที่ 1) — ผู้เข้าร่วมทั้งหมด 100 คน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13.00 – 14.30 น.</w:t>
            </w:r>
          </w:p>
        </w:tc>
        <w:tc>
          <w:tcPr>
            <w:tcW w:type="dxa" w:w="7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บรรยาย เรื่อง การจัดสิ่งแวดล้อมที่เอื้อต่อการมีสุขภาพดี (Healthy Environment)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14.30 – 14.45 น.</w:t>
            </w:r>
          </w:p>
        </w:tc>
        <w:tc>
          <w:tcPr>
            <w:tcW w:type="dxa" w:w="7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รับประทานอาหารว่างและเครื่องดื่ม (มื้อที่ 1) — ผู้เข้าร่วมทั้งหมด 100 คน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14.45 – 16.30 น.</w:t>
            </w:r>
          </w:p>
        </w:tc>
        <w:tc>
          <w:tcPr>
            <w:tcW w:type="dxa" w:w="7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Workshop กลุ่มย่อย : ออกแบบแนวทางส่งเสริมสุขภาพและปรับสิ่งแวดล้อมในพื้นที่ของตนเอง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16.30 น. เป็นต้นไป</w:t>
            </w:r>
          </w:p>
        </w:tc>
        <w:tc>
          <w:tcPr>
            <w:tcW w:type="dxa" w:w="7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ผู้ไม่พักค้างคืน (50 คน) เดินทางกลับ / ผู้พักค้างคืน (50 คน) เข้าที่พัก พักผ่อนตามอัธยาศัย (ไม่มีอาหารเย็น)</w:t>
            </w:r>
          </w:p>
        </w:tc>
      </w:tr>
      <w:tr>
        <w:tc>
          <w:tcPr>
            <w:tcW w:type="dxa" w:w="9350"/>
            <w:gridSpan w:val="2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วันที่ 2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07.00 – 08.00 น.</w:t>
            </w:r>
          </w:p>
        </w:tc>
        <w:tc>
          <w:tcPr>
            <w:tcW w:type="dxa" w:w="7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รับประทานอาหารเช้า (เฉพาะผู้พักค้างคืน 50 คน รวมในค่าห้องพักแล้ว)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08.00 – 08.15 น.</w:t>
            </w:r>
          </w:p>
        </w:tc>
        <w:tc>
          <w:tcPr>
            <w:tcW w:type="dxa" w:w="7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รับประทานอาหารว่างและเครื่องดื่ม (มื้อที่ 2) — ผู้เข้าร่วมทั้งหมด 100 คน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08.15 – 10.00 น.</w:t>
            </w:r>
          </w:p>
        </w:tc>
        <w:tc>
          <w:tcPr>
            <w:tcW w:type="dxa" w:w="7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นำเสนอผลงานกลุ่ม และร่วมอภิปราย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10.00 – 11.30 น.</w:t>
            </w:r>
          </w:p>
        </w:tc>
        <w:tc>
          <w:tcPr>
            <w:tcW w:type="dxa" w:w="7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บรรยาย เรื่อง การขับเคลื่อนแกนนำสุขภาพและการติดตามประเมินผลในพื้นที่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11.30 – 12.00 น.</w:t>
            </w:r>
          </w:p>
        </w:tc>
        <w:tc>
          <w:tcPr>
            <w:tcW w:type="dxa" w:w="7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สรุปประเด็น ถาม – ตอบ และพิธีปิดการประชุม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12.00 – 13.00 น.</w:t>
            </w:r>
          </w:p>
        </w:tc>
        <w:tc>
          <w:tcPr>
            <w:tcW w:type="dxa" w:w="7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รับประทานอาหารกลางวัน (มื้อที่ 2) — ผู้เข้าร่วมทั้งหมด 100 คน และเดินทางกลับ</w:t>
            </w:r>
          </w:p>
        </w:tc>
      </w:tr>
    </w:tbl>
    <w:p>
      <w:pPr>
        <w:spacing w:after="120" w:before="24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6. ประมาณการงบประมาณ</w:t>
      </w:r>
    </w:p>
    <w:p>
      <w:pPr>
        <w:spacing w:after="16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z w:val="32"/>
          <w:szCs w:val="32"/>
        </w:rPr>
        <w:t xml:space="preserve">งบประมาณที่ใช้จริงรวมทั้งสิ้น 124,500 บาท (จากวงเงินตั้งไว้เดิม 285,000 บาท)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200"/>
        <w:gridCol w:w="1700"/>
        <w:gridCol w:w="1350"/>
        <w:gridCol w:w="1400"/>
      </w:tblGrid>
      <w:tr>
        <w:tc>
          <w:tcPr>
            <w:tcW w:type="dxa" w:w="7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ลำดับ</w:t>
            </w:r>
          </w:p>
        </w:tc>
        <w:tc>
          <w:tcPr>
            <w:tcW w:type="dxa" w:w="42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รายการ</w:t>
            </w:r>
          </w:p>
        </w:tc>
        <w:tc>
          <w:tcPr>
            <w:tcW w:type="dxa" w:w="17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จำนวน</w:t>
            </w:r>
          </w:p>
        </w:tc>
        <w:tc>
          <w:tcPr>
            <w:tcW w:type="dxa" w:w="135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หน่วยละ (บาท)</w:t>
            </w:r>
          </w:p>
        </w:tc>
        <w:tc>
          <w:tcPr>
            <w:tcW w:type="dxa" w:w="14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รวม (บาท)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1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ค่าที่พัก (ห้องพักคู่ 1 คืน เฉลี่ยคนละ 500 บาท)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50 คน x 1 คืน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500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25,000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2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ค่าอาหารกลางวัน (2 มื้อ) — ไม่เลี้ยงอาหารเย็น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100 คน x 2 มื้อ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350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70,000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3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ค่าอาหารว่างและเครื่องดื่ม (2 มื้อ)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100 คน x 2 มื้อ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70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14,000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4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ค่าวัสดุ/เอกสารประกอบการประชุม (แฟ้ม เอกสาร ป้ายชื่อ)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100 คน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80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8,000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5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ค่าตอบแทนวิทยากรบรรยาย (6 ชั่วโมง)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6 ชม.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600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3,600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6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ค่าตอบแทนวิทยากรกลุ่ม (Workshop ฝึกปฏิบัติ)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4 ชม.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600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2,400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7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ค่าป้ายไวนิลประชาสัมพันธ์ และค่าใช้จ่ายเบ็ดเตล็ด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1 งาน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1,500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1,500</w:t>
            </w:r>
          </w:p>
        </w:tc>
      </w:tr>
      <w:tr>
        <w:tc>
          <w:tcPr>
            <w:tcW w:type="dxa" w:w="7950"/>
            <w:gridSpan w:val="4"/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รวมงบประมาณทั้งสิ้น</w:t>
            </w:r>
          </w:p>
        </w:tc>
        <w:tc>
          <w:tcPr>
            <w:tcW w:type="dxa" w:w="1400"/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124,500</w:t>
            </w:r>
          </w:p>
        </w:tc>
      </w:tr>
    </w:tbl>
    <w:p>
      <w:pPr>
        <w:spacing w:after="120" w:before="24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หมายเหตุ / สมมติฐานในการคำนวณ</w:t>
      </w:r>
    </w:p>
    <w:p>
      <w:pPr>
        <w:spacing w:after="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•  ผู้เข้าร่วมกิจกรรมทั้งหมด 100 คน เข้าร่วมเต็ม 2 วัน (รับอาหารกลางวัน อาหารว่าง และเอกสารครบทุกคน)</w:t>
      </w:r>
    </w:p>
    <w:p>
      <w:pPr>
        <w:spacing w:after="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•  ผู้พักค้างคืน 50 คน (เช่น ผู้เดินทางไกล) — ห้องพักคู่ (Twin) ห้องละ 1,000 บาท/คืน พักคู่ละ 2 คน เฉลี่ยคนละ 500 บาท/คืน</w:t>
      </w:r>
    </w:p>
    <w:p>
      <w:pPr>
        <w:spacing w:after="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•  ไม่มีการเลี้ยงอาหารเย็น — ผู้พักค้างคืนพักผ่อนตามอัธยาศัยในช่วงเย็น และรับอาหารเช้าวันที่ 2 ซึ่งรวมอยู่ในค่าห้องพักแล้ว</w:t>
      </w:r>
    </w:p>
    <w:p>
      <w:pPr>
        <w:spacing w:after="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•  อาหารกลางวัน : คนละ 350 บาท/มื้อ จำนวน 2 มื้อ (กลางวันวันที่ 1 และวันที่ 2)</w:t>
      </w:r>
    </w:p>
    <w:p>
      <w:pPr>
        <w:spacing w:after="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•  อาหารว่างและเครื่องดื่ม : คนละ 70 บาท/มื้อ จำนวน 2 มื้อ (บ่ายวันที่ 1, เช้าวันที่ 2)</w:t>
      </w:r>
    </w:p>
    <w:p>
      <w:pPr>
        <w:spacing w:after="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•  ค่าตอบแทนวิทยากรคำนวณตามอัตราวิทยากรบุคลากรภาครัฐ (600 บาท/ชั่วโมง) ตามระเบียบกระทรวงการคลัง — โปรดปรับตามอัตราจริงของหน่วยงาน</w:t>
      </w:r>
    </w:p>
    <w:p>
      <w:pPr>
        <w:spacing w:after="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•  รวมงบประมาณที่ใช้จริง 124,500 บาท ต่ำกว่าวงเงินเดิมที่ตั้งไว้ 285,000 บาท อยู่ 160,500 บาท — ส่วนต่างนี้สามารถคืนงบ หรือนำไปเพิ่มรายการอื่น (เช่น ค่าพาหนะผู้เข้าร่วม ค่าตอบแทนวิทยากรเพิ่ม หรือเพิ่มวัสดุ) ได้ตามความเหมาะสม</w:t>
      </w:r>
    </w:p>
    <w:p>
      <w:pPr>
        <w:spacing w:after="120" w:before="24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7. ประโยชน์ที่คาดว่าจะได้รับ</w:t>
      </w:r>
    </w:p>
    <w:p>
      <w:pPr>
        <w:spacing w:after="12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บุคลากร/แกนนำสุขภาพมีความรู้ ความเข้าใจ และทักษะในการส่งเสริมสุขภาพ ปรับเปลี่ยนพฤติกรรมสุขภาพ และจัดสิ่งแวดล้อมที่เอื้อต่อการมีสุขภาพดี สามารถนำไปขยายผลและขับเคลื่อนงานในพื้นที่ได้อย่างเป็นรูปธรรม เกิดเครือข่ายแกนนำสุขภาพที่เข้มแข็งในการดำเนินงานร่วมกันอย่างต่อเนื่อง</w:t>
      </w:r>
    </w:p>
    <w:sectPr>
      <w:pgSz w:w="11906" w:h="16838" w:orient="portrait"/>
      <w:pgMar w:top="1134" w:right="1134" w:bottom="1134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2026-09-13T02:20:43.621Z</dcterms:created>
  <dcterms:modified xsi:type="dcterms:W3CDTF">2026-09-13T02:20:43.622Z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