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แผนกิจกรรมภายใต้โครงการส่งเสริมสุขภาพวัยทำงาน เตรียมพร้อมสู่การเป็นผู้สูงอายุสุขภาพดี ปีงบประมาณ 2570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ศูนย์อนามัยที่ 2 พิษณุโลก</w:t>
      </w:r>
    </w:p>
    <w:p>
      <w:pPr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ชื่อกิจกรรม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ประชุมเชิงปฏิบัติการพัฒนาศักยภาพบุคลากร/แกนนำสุขภาพ ด้านการส่งเสริมสุขภาพ การปรับเปลี่ยนพฤติกรรมสุขภาพ และการจัดสิ่งแวดล้อมที่เอื้อต่อการมีสุขภาพดี</w:t>
      </w:r>
    </w:p>
    <w:p>
      <w:pPr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1. หลักการและเหตุผล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จากสถานการณ์สุขภาพวัยทำงานที่เผชิญปัญหาโรคไม่ติดต่อเรื้อรัง (NCDs) ภาวะอ้วน พฤติกรรมการบริโภคและกิจกรรมทางกายที่ไม่เพียงพอ การขับเคลื่อนงานส่งเสริมสุขภาพในระดับพื้นที่จำเป็นต้องอาศัยบุคลากรและแกนนำสุขภาพที่มีความรู้ ความเข้าใจ และทักษะในการดำเนินงานอย่างเป็นระบบ ทั้งด้านการส่งเสริมสุขภาพ การปรับเปลี่ยนพฤติกรรมสุขภาพ และการจัดสิ่งแวดล้อมที่เอื้อต่อการมีสุขภาพดี ศูนย์อนามัยที่ 2 พิษณุโลก จึงจัดประชุมเชิงปฏิบัติการเพื่อพัฒนาศักยภาพบุคลากร/แกนนำสุขภาพ ให้สามารถนำความรู้ไปประยุกต์ใช้และขยายผลในพื้นที่รับผิดชอบต่อไป</w:t>
      </w:r>
    </w:p>
    <w:p>
      <w:pPr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 วัตถุประสงค์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2.1 เพื่อพัฒนาศักยภาพบุคลากร/แกนนำสุขภาพให้มีความรู้ความเข้าใจแนวทางการส่งเสริมสุขภาพและการปรับเปลี่ยนพฤติกรรมสุขภาพวัยทำงาน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2.2 เพื่อสร้างทักษะการจัดสิ่งแวดล้อมในองค์กร/พื้นที่ให้เอื้อต่อการมีสุขภาพดี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2.3 เพื่อสร้างและขยายเครือข่ายแกนนำสุขภาพในการขับเคลื่อนงานส่งเสริมสุขภาพระดับพื้นที่</w:t>
      </w:r>
    </w:p>
    <w:p>
      <w:pPr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 กลุ่มเป้าหมาย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บุคลากรสาธารณสุข/แกนนำสุขภาพ ในพื้นที่รับผิดชอบ จำนวน 150 คน (รวมเจ้าหน้าที่ผู้จัดและวิทยากร)</w:t>
      </w:r>
    </w:p>
    <w:p>
      <w:pPr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4. รูปแบบการจัดกิจกรรม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ประชุมเชิงปฏิบัติการ (บรรยาย + Workshop กลุ่มย่อย) ระยะเวลา 2 วัน 1 คืน ณ โรงแรม (พักค้างคืน)</w:t>
      </w:r>
    </w:p>
    <w:p>
      <w:pPr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5. กำหนดการ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เวลา</w:t>
            </w:r>
          </w:p>
        </w:tc>
        <w:tc>
          <w:tcPr>
            <w:tcW w:type="dxa" w:w="71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กิจกรรม</w:t>
            </w:r>
          </w:p>
        </w:tc>
      </w:tr>
      <w:tr>
        <w:tc>
          <w:tcPr>
            <w:tcW w:type="dxa" w:w="9350"/>
            <w:gridSpan w:val="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วันที่ 1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08.30 – 09.00 น.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ลงทะเบียน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09.00 – 09.15 น.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พิธีเปิดการประชุมเชิงปฏิบัติการ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09.15 – 12.00 น.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บรรยาย เรื่อง แนวทางการส่งเสริมสุขภาพและการปรับเปลี่ยนพฤติกรรมสุขภาพวัยทำงาน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12.00 – 13.00 น.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รับประทานอาหารกลางวัน (มื้อที่ 1)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13.00 – 14.30 น.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บรรยาย เรื่อง การจัดสิ่งแวดล้อมที่เอื้อต่อการมีสุขภาพดี (Healthy Environment)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14.30 – 14.45 น.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รับประทานอาหารว่างและเครื่องดื่ม (มื้อที่ 1)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14.45 – 16.30 น.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Workshop กลุ่มย่อย : ออกแบบแนวทางส่งเสริมสุขภาพและปรับสิ่งแวดล้อมในพื้นที่ของตนเอง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16.30 – 18.00 น.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เดินทางเข้าที่พัก / พักผ่อนตามอัธยาศัย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18.00 – 19.00 น.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รับประทานอาหารเย็น (มื้อที่ 2)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19.00 – 20.30 น.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กิจกรรมกลุ่มสัมพันธ์ / แลกเปลี่ยนเรียนรู้เครือข่ายแกนนำสุขภาพ</w:t>
            </w:r>
          </w:p>
        </w:tc>
      </w:tr>
      <w:tr>
        <w:tc>
          <w:tcPr>
            <w:tcW w:type="dxa" w:w="9350"/>
            <w:gridSpan w:val="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วันที่ 2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07.00 – 08.00 น.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รับประทานอาหารเช้า (รวมในค่าห้องพัก)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08.00 – 08.15 น.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รับประทานอาหารว่างและเครื่องดื่ม (มื้อที่ 2)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08.15 – 10.00 น.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นำเสนอผลงานกลุ่ม และร่วมอภิปราย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10.00 – 11.30 น.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บรรยาย เรื่อง การขับเคลื่อนแกนนำสุขภาพและการติดตามประเมินผลในพื้นที่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11.30 – 12.00 น.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สรุปประเด็น ถาม – ตอบ และพิธีปิดการประชุม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12.00 – 13.00 น.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รับประทานอาหารกลางวัน (มื้อที่ 3) และเดินทางกลับ</w:t>
            </w:r>
          </w:p>
        </w:tc>
      </w:tr>
    </w:tbl>
    <w:p>
      <w:pPr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6. ประมาณการงบประมาณ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งบประมาณรวมทั้งสิ้น 285,000 บาท (สองแสนแปดหมื่นห้าพันบาทถ้วน)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700"/>
        <w:gridCol w:w="1350"/>
        <w:gridCol w:w="1400"/>
      </w:tblGrid>
      <w:tr>
        <w:tc>
          <w:tcPr>
            <w:tcW w:type="dxa" w:w="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ลำดับ</w:t>
            </w:r>
          </w:p>
        </w:tc>
        <w:tc>
          <w:tcPr>
            <w:tcW w:type="dxa" w:w="4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รายการ</w:t>
            </w:r>
          </w:p>
        </w:tc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จำนวน</w:t>
            </w:r>
          </w:p>
        </w:tc>
        <w:tc>
          <w:tcPr>
            <w:tcW w:type="dxa" w:w="13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หน่วยละ (บาท)</w:t>
            </w:r>
          </w:p>
        </w:tc>
        <w:tc>
          <w:tcPr>
            <w:tcW w:type="dxa" w:w="1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 (บาท)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ค่าที่พัก (ห้องพักคู่ 1 คืน เฉลี่ยคนละ 500 บาท)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150 คน x 1 คืน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75,000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ค่าอาหารกลางวัน/อาหารเย็น (3 มื้อ)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150 คน x 3 มื้อ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350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157,500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ค่าอาหารว่างและเครื่องดื่ม (2 มื้อ)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150 คน x 2 มื้อ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21,000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ค่าวัสดุ/เอกสารประกอบการประชุม (แฟ้ม เอกสาร ป้ายชื่อ)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150 คน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80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12,000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ค่าตอบแทนวิทยากรบรรยาย (6 ชั่วโมง)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 ชม.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3,600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ค่าตอบแทนวิทยากรกลุ่ม (Workshop ฝึกปฏิบัติ)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 ชม.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2,400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ค่าป้ายไวนิลประชาสัมพันธ์ และค่าใช้จ่ายเบ็ดเตล็ด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 งาน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1,500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1,500</w:t>
            </w:r>
          </w:p>
        </w:tc>
      </w:tr>
      <w:tr>
        <w:tc>
          <w:tcPr>
            <w:tcW w:type="dxa" w:w="795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รวมค่าใช้จ่ายตามรายการ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273,000</w:t>
            </w:r>
          </w:p>
        </w:tc>
      </w:tr>
      <w:tr>
        <w:tc>
          <w:tcPr>
            <w:tcW w:type="dxa" w:w="795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สำรองเผื่อเหลือเผื่อขาด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12,000</w:t>
            </w:r>
          </w:p>
        </w:tc>
      </w:tr>
      <w:tr>
        <w:tc>
          <w:tcPr>
            <w:tcW w:type="dxa" w:w="7950"/>
            <w:gridSpan w:val="4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รวมงบประมาณทั้งสิ้น</w:t>
            </w:r>
          </w:p>
        </w:tc>
        <w:tc>
          <w:tcPr>
            <w:tcW w:type="dxa" w:w="14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285,000</w:t>
            </w:r>
          </w:p>
        </w:tc>
      </w:tr>
    </w:tbl>
    <w:p>
      <w:pPr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หมายเหตุ / สมมติฐานในการคำนวณ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•  ห้องพักโรงแรม : ห้องพักคู่ (Twin) ห้องละ 1,000 บาท/คืน พักคู่ละ 2 คน เฉลี่ยคนละ 500 บาท/คืน (พัก 1 คืน)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•  อาหารกลางวัน/เย็น : คนละ 350 บาท/มื้อ จำนวน 3 มื้อ (กลางวันวันที่ 1, เย็นวันที่ 1, กลางวันวันที่ 2) — อาหารเช้าวันที่ 2 รวมอยู่ในค่าห้องพักแล้ว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•  อาหารว่างและเครื่องดื่ม : คนละ 70 บาท/มื้อ จำนวน 2 มื้อ (บ่ายวันที่ 1, เช้าวันที่ 2)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•  จำนวนผู้เข้าร่วม 150 คน คือจำนวนสูงสุดที่คำนวณได้ภายใต้วงเงิน 285,000 บาท โดยยังเหลืองบสำรองเผื่อเหลือเผื่อขาด — หากต้องการใช้เต็มวงเงินโดยไม่มีงบสำรอง จะรับได้สูงสุดประมาณ 156 คน แต่ไม่แนะนำเนื่องจากไม่มีเงินสำรองกรณีฉุกเฉิน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•  ค่าตอบแทนวิทยากรคำนวณตามอัตราวิทยากรบุคลากรภาครัฐ (600 บาท/ชั่วโมง) ตามระเบียบกระทรวงการคลัง — โปรดปรับตามอัตราจริงของหน่วยงาน</w:t>
      </w:r>
    </w:p>
    <w:p>
      <w:pPr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7. ประโยชน์ที่คาดว่าจะได้รับ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บุคลากร/แกนนำสุขภาพมีความรู้ ความเข้าใจ และทักษะในการส่งเสริมสุขภาพ ปรับเปลี่ยนพฤติกรรมสุขภาพ และจัดสิ่งแวดล้อมที่เอื้อต่อการมีสุขภาพดี สามารถนำไปขยายผลและขับเคลื่อนงานในพื้นที่ได้อย่างเป็นรูปธรรม เกิดเครือข่ายแกนนำสุขภาพที่เข้มแข็งในการดำเนินงานร่วมกันอย่างต่อเนื่อง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2026-09-13T01:54:57.328Z</dcterms:created>
  <dcterms:modified xsi:type="dcterms:W3CDTF">2026-09-13T01:54:57.328Z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