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lineRule="auto"/>
        <w:ind w:firstLine="0"/>
        <w:jc w:val="center"/>
      </w:pPr>
      <w:r>
        <w:rPr>
          <w:rFonts w:ascii="TH SarabunPSK" w:cs="TH SarabunPSK" w:eastAsia="TH SarabunPSK" w:hAnsi="TH SarabunPSK"/>
          <w:b/>
          <w:bCs/>
          <w:i w:val="false"/>
          <w:sz w:val="36"/>
          <w:szCs w:val="36"/>
        </w:rPr>
        <w:t xml:space="preserve">ผลของแบบแผนความเชื่อด้านสุขภาพและความรอบรู้ด้านสุขภาพ ภายใต้รูปแบบการยกระดับครอบครัว ชุมชนรอบรู้สุขภาพภายใต้วิถีชีวิตปกติใหม่ จังหวัดพิษณุโลก</w:t>
      </w:r>
    </w:p>
    <w:p>
      <w:pPr>
        <w:spacing w:after="0" w:before="0" w:line="240" w:lineRule="auto"/>
        <w:ind w:firstLine="0"/>
        <w:jc w:val="center"/>
      </w:pPr>
      <w:r>
        <w:rPr>
          <w:rFonts w:ascii="TH SarabunPSK" w:cs="TH SarabunPSK" w:eastAsia="TH SarabunPSK" w:hAnsi="TH SarabunPSK"/>
          <w:b/>
          <w:bCs/>
          <w:i w:val="false"/>
          <w:sz w:val="36"/>
          <w:szCs w:val="36"/>
        </w:rPr>
        <w:t xml:space="preserve">Effects of the Health Belief Model and Health Literacy under a Family and Community Health Literacy Enhancement Model in the New Normal Lifestyle, Phitsanulok Province</w:t>
      </w:r>
    </w:p>
    <w:p>
      <w:pPr>
        <w:spacing w:after="0" w:before="0" w:line="240" w:lineRule="auto"/>
      </w:pPr>
      <w:r>
        <w:rPr>
          <w:rFonts w:ascii="TH SarabunPSK" w:cs="TH SarabunPSK" w:eastAsia="TH SarabunPSK" w:hAnsi="TH SarabunPSK"/>
          <w:sz w:val="16"/>
          <w:szCs w:val="16"/>
        </w:rPr>
        <w:t xml:space="preserve"/>
      </w:r>
    </w:p>
    <w:p>
      <w:pPr>
        <w:spacing w:after="0" w:before="0" w:line="240" w:lineRule="auto"/>
        <w:ind w:firstLine="0"/>
        <w:jc w:val="center"/>
      </w:pPr>
      <w:r>
        <w:rPr>
          <w:rFonts w:ascii="TH SarabunPSK" w:cs="TH SarabunPSK" w:eastAsia="TH SarabunPSK" w:hAnsi="TH SarabunPSK"/>
          <w:b/>
          <w:bCs/>
          <w:i w:val="false"/>
          <w:sz w:val="28"/>
          <w:szCs w:val="28"/>
        </w:rPr>
        <w:t xml:space="preserve">วีรศักดิ์ พรหมมา</w:t>
      </w:r>
      <w:r>
        <w:rPr>
          <w:rFonts w:ascii="TH SarabunPSK" w:cs="TH SarabunPSK" w:eastAsia="TH SarabunPSK" w:hAnsi="TH SarabunPSK"/>
          <w:b/>
          <w:bCs/>
          <w:i w:val="false"/>
          <w:sz w:val="28"/>
          <w:szCs w:val="28"/>
          <w:vertAlign w:val="superscript"/>
        </w:rPr>
        <w:t xml:space="preserve">1*</w:t>
      </w:r>
    </w:p>
    <w:p>
      <w:pPr>
        <w:spacing w:after="0" w:before="0" w:line="240" w:lineRule="auto"/>
        <w:ind w:firstLine="0"/>
        <w:jc w:val="center"/>
      </w:pPr>
      <w:r>
        <w:rPr>
          <w:rFonts w:ascii="TH SarabunPSK" w:cs="TH SarabunPSK" w:eastAsia="TH SarabunPSK" w:hAnsi="TH SarabunPSK"/>
          <w:b/>
          <w:bCs/>
          <w:i w:val="false"/>
          <w:sz w:val="28"/>
          <w:szCs w:val="28"/>
          <w:highlight w:val="yellow"/>
        </w:rPr>
        <w:t xml:space="preserve">Weerasak Promma</w:t>
      </w:r>
      <w:r>
        <w:rPr>
          <w:rFonts w:ascii="TH SarabunPSK" w:cs="TH SarabunPSK" w:eastAsia="TH SarabunPSK" w:hAnsi="TH SarabunPSK"/>
          <w:b/>
          <w:bCs/>
          <w:i w:val="false"/>
          <w:sz w:val="28"/>
          <w:szCs w:val="28"/>
          <w:vertAlign w:val="superscript"/>
        </w:rPr>
        <w:t xml:space="preserve">1*</w:t>
      </w:r>
    </w:p>
    <w:p>
      <w:pPr>
        <w:spacing w:after="0" w:before="0" w:line="240" w:lineRule="auto"/>
        <w:ind w:firstLine="0"/>
        <w:jc w:val="center"/>
      </w:pPr>
      <w:r>
        <w:rPr>
          <w:rFonts w:ascii="TH SarabunPSK" w:cs="TH SarabunPSK" w:eastAsia="TH SarabunPSK" w:hAnsi="TH SarabunPSK"/>
          <w:b/>
          <w:bCs/>
          <w:i w:val="false"/>
          <w:sz w:val="24"/>
          <w:szCs w:val="24"/>
          <w:vertAlign w:val="superscript"/>
        </w:rPr>
        <w:t xml:space="preserve">1</w:t>
      </w:r>
      <w:r>
        <w:rPr>
          <w:rFonts w:ascii="TH SarabunPSK" w:cs="TH SarabunPSK" w:eastAsia="TH SarabunPSK" w:hAnsi="TH SarabunPSK"/>
          <w:b/>
          <w:bCs/>
          <w:i w:val="false"/>
          <w:sz w:val="24"/>
          <w:szCs w:val="24"/>
        </w:rPr>
        <w:t xml:space="preserve">ศูนย์อนามัยที่ 2 พิษณุโลก กรมอนามัย กระทรวงสาธารณสุข</w:t>
      </w:r>
    </w:p>
    <w:p>
      <w:pPr>
        <w:spacing w:after="0" w:before="0" w:line="240" w:lineRule="auto"/>
        <w:ind w:firstLine="0"/>
        <w:jc w:val="center"/>
      </w:pPr>
      <w:r>
        <w:rPr>
          <w:rFonts w:ascii="TH SarabunPSK" w:cs="TH SarabunPSK" w:eastAsia="TH SarabunPSK" w:hAnsi="TH SarabunPSK"/>
          <w:b/>
          <w:bCs/>
          <w:i w:val="false"/>
          <w:sz w:val="24"/>
          <w:szCs w:val="24"/>
          <w:vertAlign w:val="superscript"/>
        </w:rPr>
        <w:t xml:space="preserve">1</w:t>
      </w:r>
      <w:r>
        <w:rPr>
          <w:rFonts w:ascii="TH SarabunPSK" w:cs="TH SarabunPSK" w:eastAsia="TH SarabunPSK" w:hAnsi="TH SarabunPSK"/>
          <w:b/>
          <w:bCs/>
          <w:i w:val="false"/>
          <w:sz w:val="24"/>
          <w:szCs w:val="24"/>
          <w:highlight w:val="yellow"/>
        </w:rPr>
        <w:t xml:space="preserve">Regional Health Promotion Center 2 Phitsanulok, Department of Health, Ministry of Public Health</w:t>
      </w:r>
    </w:p>
    <w:p>
      <w:pPr>
        <w:spacing w:after="0" w:before="0" w:line="240" w:lineRule="auto"/>
      </w:pPr>
      <w:r>
        <w:rPr>
          <w:rFonts w:ascii="TH SarabunPSK" w:cs="TH SarabunPSK" w:eastAsia="TH SarabunPSK" w:hAnsi="TH SarabunPSK"/>
          <w:sz w:val="16"/>
          <w:szCs w:val="16"/>
        </w:rPr>
        <w:t xml:space="preserve"/>
      </w:r>
    </w:p>
    <w:p>
      <w:pPr>
        <w:spacing w:after="0" w:before="0" w:line="240" w:lineRule="auto"/>
        <w:ind w:firstLine="0"/>
        <w:jc w:val="center"/>
      </w:pPr>
      <w:r>
        <w:rPr>
          <w:rFonts w:ascii="TH SarabunPSK" w:cs="TH SarabunPSK" w:eastAsia="TH SarabunPSK" w:hAnsi="TH SarabunPSK"/>
          <w:b/>
          <w:bCs/>
          <w:i w:val="false"/>
          <w:sz w:val="24"/>
          <w:szCs w:val="24"/>
        </w:rPr>
        <w:t xml:space="preserve">(Received: ; Revised: ; Accepted: )</w:t>
      </w:r>
    </w:p>
    <w:p>
      <w:pPr>
        <w:spacing w:after="0" w:before="0" w:line="240" w:lineRule="auto"/>
      </w:pPr>
      <w:r>
        <w:rPr>
          <w:rFonts w:ascii="TH SarabunPSK" w:cs="TH SarabunPSK" w:eastAsia="TH SarabunPSK" w:hAnsi="TH SarabunPSK"/>
          <w:sz w:val="16"/>
          <w:szCs w:val="16"/>
        </w:rPr>
        <w:t xml:space="preserve"/>
      </w:r>
    </w:p>
    <w:p>
      <w:pPr>
        <w:keepNext/>
        <w:spacing w:after="0" w:before="0" w:line="240" w:lineRule="auto"/>
        <w:ind w:firstLine="0"/>
        <w:jc w:val="left"/>
      </w:pPr>
      <w:r>
        <w:rPr>
          <w:rFonts w:ascii="TH SarabunPSK" w:cs="TH SarabunPSK" w:eastAsia="TH SarabunPSK" w:hAnsi="TH SarabunPSK"/>
          <w:b/>
          <w:bCs/>
          <w:i w:val="false"/>
          <w:sz w:val="32"/>
          <w:szCs w:val="32"/>
        </w:rPr>
        <w:t xml:space="preserve">บทคัดย่อ</w:t>
      </w:r>
    </w:p>
    <w:p>
      <w:pPr>
        <w:spacing w:after="0" w:before="0" w:line="240" w:lineRule="auto"/>
        <w:ind w:firstLine="709"/>
        <w:jc w:val="thaiDistribute"/>
      </w:pPr>
      <w:r>
        <w:rPr>
          <w:rFonts w:ascii="TH SarabunPSK" w:cs="TH SarabunPSK" w:eastAsia="TH SarabunPSK" w:hAnsi="TH SarabunPSK"/>
          <w:b w:val="false"/>
          <w:i w:val="false"/>
          <w:sz w:val="32"/>
          <w:szCs w:val="32"/>
        </w:rPr>
        <w:t xml:space="preserve">ความรอบรู้ด้านสุขภาพของประชาชนในเขตสุขภาพที่ 2 ยังต่ำกว่าเกณฑ์และค่าเฉลี่ยประเทศ การวิจัยกึ่งทดลองแบบสองกลุ่มวัดก่อน-หลังนี้มีวัตถุประสงค์เพื่อศึกษาผลของแบบแผนความเชื่อด้านสุขภาพ (Health Belief Model) และความรอบรู้ด้านสุขภาพ (Health Literacy) ภายใต้รูปแบบการยกระดับครอบครัว ชุมชนรอบรู้สุขภาพภายใต้วิถีชีวิตปกติใหม่ จังหวัดพิษณุโลก และเปรียบเทียบคะแนนทั้งสองตัวแปรก่อนและหลังเข้าร่วมรูปแบบ กลุ่มตัวอย่างเป็นแกนนำครอบครัวในอำเภอเมืองพิษณุโลก จำนวน 80 คน ได้จากการสุ่มหลายขั้นตอน แบ่งเป็นกลุ่มทดลองและกลุ่มเปรียบเทียบ กลุ่มละ 40 คน กลุ่มทดลองได้รับรูปแบบเป็นเวลา 12 สัปดาห์ ส่วนกลุ่มเปรียบเทียบได้รับบริการสุขภาพตามปกติ เก็บข้อมูลด้วยแบบสอบถามแบบแผนความเชื่อด้านสุขภาพและความรอบรู้ด้านสุขภาพ วิเคราะห์ข้อมูลด้วยสถิติ Wilcoxon Signed Ranks Test และ Mann-Whitney U Test ผลการวิจัยพบว่า กลุ่มทดลองมีคะแนนแบบแผนความเชื่อด้านสุขภาพเพิ่มขึ้นอย่างมีนัยสำคัญทางสถิติหลังเข้าร่วมรูปแบบ (p = 0.029) ส่วนคะแนนความรอบรู้ด้านสุขภาพเพิ่มขึ้นแต่ไม่มีนัยสำคัญทางสถิติ (p = 0.323) และเมื่อเปรียบเทียบกับกลุ่มเปรียบเทียบหลังสิ้นสุดรูปแบบ กลุ่มทดลองมีคะแนนทั้งแบบแผนความเชื่อด้านสุขภาพ (p &lt; 0.001) และความรอบรู้ด้านสุขภาพ (p = 0.023) สูงกว่าอย่างมีนัยสำคัญทางสถิติ แสดงว่ารูปแบบนี้ช่วยปรับเปลี่ยนความเชื่อและเสริมความรอบรู้ด้านสุขภาพของแกนนำครอบครัวได้ จึงควรขยายผลสู่พื้นที่อื่นในเขตสุขภาพที่ 2</w:t>
      </w:r>
    </w:p>
    <w:p>
      <w:pPr>
        <w:spacing w:after="0" w:before="0" w:line="240" w:lineRule="auto"/>
      </w:pPr>
      <w:r>
        <w:rPr>
          <w:rFonts w:ascii="TH SarabunPSK" w:cs="TH SarabunPSK" w:eastAsia="TH SarabunPSK" w:hAnsi="TH SarabunPSK"/>
          <w:sz w:val="16"/>
          <w:szCs w:val="16"/>
        </w:rPr>
        <w:t xml:space="preserve"/>
      </w:r>
    </w:p>
    <w:p>
      <w:pPr>
        <w:spacing w:after="0" w:before="0" w:line="240" w:lineRule="auto"/>
        <w:ind w:firstLine="0"/>
        <w:jc w:val="left"/>
      </w:pPr>
      <w:r>
        <w:rPr>
          <w:rFonts w:ascii="TH SarabunPSK" w:cs="TH SarabunPSK" w:eastAsia="TH SarabunPSK" w:hAnsi="TH SarabunPSK"/>
          <w:b/>
          <w:bCs/>
          <w:i w:val="false"/>
          <w:sz w:val="32"/>
          <w:szCs w:val="32"/>
        </w:rPr>
        <w:t xml:space="preserve">คำสำคัญ:</w:t>
      </w:r>
      <w:r>
        <w:rPr>
          <w:rFonts w:ascii="TH SarabunPSK" w:cs="TH SarabunPSK" w:eastAsia="TH SarabunPSK" w:hAnsi="TH SarabunPSK"/>
          <w:b w:val="false"/>
          <w:i w:val="false"/>
          <w:sz w:val="32"/>
          <w:szCs w:val="32"/>
        </w:rPr>
        <w:t xml:space="preserve"> ความเชื่อด้านสุขภาพ, ความรอบรู้ด้านสุขภาพ, การยกระดับครอบครัว, ชุมชนรอบรู้สุขภาพ, วิถีชีวิตปกติใหม่</w:t>
      </w:r>
    </w:p>
    <w:p>
      <w:pPr>
        <w:spacing w:after="0" w:before="0" w:line="240" w:lineRule="auto"/>
        <w:ind w:firstLine="0"/>
        <w:jc w:val="left"/>
      </w:pPr>
      <w:r>
        <w:rPr>
          <w:rFonts w:ascii="TH SarabunPSK" w:cs="TH SarabunPSK" w:eastAsia="TH SarabunPSK" w:hAnsi="TH SarabunPSK"/>
          <w:b w:val="false"/>
          <w:i w:val="false"/>
          <w:sz w:val="24"/>
          <w:szCs w:val="24"/>
        </w:rPr>
        <w:t xml:space="preserve">*ผู้ให้การติดต่อ (Corresponding e-mail: </w:t>
      </w:r>
      <w:r>
        <w:rPr>
          <w:rFonts w:ascii="TH SarabunPSK" w:cs="TH SarabunPSK" w:eastAsia="TH SarabunPSK" w:hAnsi="TH SarabunPSK"/>
          <w:b w:val="false"/>
          <w:i w:val="false"/>
          <w:sz w:val="24"/>
          <w:szCs w:val="24"/>
          <w:highlight w:val="yellow"/>
        </w:rPr>
        <w:t xml:space="preserve">...........................</w:t>
      </w:r>
      <w:r>
        <w:rPr>
          <w:rFonts w:ascii="TH SarabunPSK" w:cs="TH SarabunPSK" w:eastAsia="TH SarabunPSK" w:hAnsi="TH SarabunPSK"/>
          <w:b w:val="false"/>
          <w:i w:val="false"/>
          <w:sz w:val="24"/>
          <w:szCs w:val="24"/>
        </w:rPr>
        <w:t xml:space="preserve">)</w:t>
      </w:r>
    </w:p>
    <w:p>
      <w:pPr>
        <w:spacing w:after="0" w:before="0" w:line="240" w:lineRule="auto"/>
      </w:pPr>
      <w:r>
        <w:rPr>
          <w:rFonts w:ascii="TH SarabunPSK" w:cs="TH SarabunPSK" w:eastAsia="TH SarabunPSK" w:hAnsi="TH SarabunPSK"/>
          <w:sz w:val="32"/>
          <w:szCs w:val="32"/>
        </w:rPr>
        <w:t xml:space="preserve"/>
      </w:r>
    </w:p>
    <w:p>
      <w:pPr>
        <w:keepNext/>
        <w:spacing w:after="0" w:before="0" w:line="240" w:lineRule="auto"/>
        <w:ind w:firstLine="0"/>
        <w:jc w:val="left"/>
      </w:pPr>
      <w:r>
        <w:rPr>
          <w:rFonts w:ascii="TH SarabunPSK" w:cs="TH SarabunPSK" w:eastAsia="TH SarabunPSK" w:hAnsi="TH SarabunPSK"/>
          <w:b/>
          <w:bCs/>
          <w:i w:val="false"/>
          <w:sz w:val="32"/>
          <w:szCs w:val="32"/>
        </w:rPr>
        <w:t xml:space="preserve">Abstract</w:t>
      </w:r>
    </w:p>
    <w:p>
      <w:pPr>
        <w:spacing w:after="0" w:before="0" w:line="240" w:lineRule="auto"/>
        <w:ind w:firstLine="709"/>
        <w:jc w:val="both"/>
      </w:pPr>
      <w:r>
        <w:rPr>
          <w:rFonts w:ascii="TH SarabunPSK" w:cs="TH SarabunPSK" w:eastAsia="TH SarabunPSK" w:hAnsi="TH SarabunPSK"/>
          <w:b w:val="false"/>
          <w:i w:val="false"/>
          <w:sz w:val="32"/>
          <w:szCs w:val="32"/>
        </w:rPr>
        <w:t xml:space="preserve">Health literacy in Health Region 2 remains below the national standard and average. This two-group pretest-posttest quasi-experimental study aimed to examine the effects of the Health Belief Model (HBM) and Health Literacy under a Family and Community Health Literacy Enhancement Model in the New Normal Lifestyle, Phitsanulok Province, and to compare HBM and health literacy scores before and after participation in the model. The sample comprised 80 family health leaders in Mueang Phitsanulok District selected by multi-stage random sampling and divided equally into an experimental group and a comparison group (40 each). The experimental group received the model over a 12-week period, while the comparison group received usual health services. Data were collected using HBM and health literacy questionnaires and analyzed using the Wilcoxon Signed Ranks Test and the Mann-Whitney U Test. The results showed that, after participating in the model, the experimental group's HBM scores increased significantly (p = 0.029), while their health literacy scores increased but not significantly (p = 0.323). When compared with the comparison group after the intervention, the experimental group had significantly higher scores in both HBM (p &lt; 0.001) and health literacy (p = 0.023). The model effectively shifted health beliefs and strengthened health literacy among family health leaders and should be scaled up to other areas within Health Region 2.</w:t>
      </w:r>
    </w:p>
    <w:p>
      <w:pPr>
        <w:spacing w:after="0" w:before="0" w:line="240" w:lineRule="auto"/>
      </w:pPr>
      <w:r>
        <w:rPr>
          <w:rFonts w:ascii="TH SarabunPSK" w:cs="TH SarabunPSK" w:eastAsia="TH SarabunPSK" w:hAnsi="TH SarabunPSK"/>
          <w:sz w:val="16"/>
          <w:szCs w:val="16"/>
        </w:rPr>
        <w:t xml:space="preserve"/>
      </w:r>
    </w:p>
    <w:p>
      <w:pPr>
        <w:spacing w:after="0" w:before="0" w:line="240" w:lineRule="auto"/>
        <w:ind w:firstLine="0"/>
        <w:jc w:val="left"/>
      </w:pPr>
      <w:r>
        <w:rPr>
          <w:rFonts w:ascii="TH SarabunPSK" w:cs="TH SarabunPSK" w:eastAsia="TH SarabunPSK" w:hAnsi="TH SarabunPSK"/>
          <w:b/>
          <w:bCs/>
          <w:i w:val="false"/>
          <w:sz w:val="32"/>
          <w:szCs w:val="32"/>
        </w:rPr>
        <w:t xml:space="preserve">Keywords:</w:t>
      </w:r>
      <w:r>
        <w:rPr>
          <w:rFonts w:ascii="TH SarabunPSK" w:cs="TH SarabunPSK" w:eastAsia="TH SarabunPSK" w:hAnsi="TH SarabunPSK"/>
          <w:b w:val="false"/>
          <w:i w:val="false"/>
          <w:sz w:val="32"/>
          <w:szCs w:val="32"/>
        </w:rPr>
        <w:t xml:space="preserve"> Health Belief Model, Health Literacy, Family Enhancement, Health-Literate Community, New Normal Lifestyle</w:t>
      </w:r>
    </w:p>
    <w:p>
      <w:pPr>
        <w:spacing w:after="0" w:before="0" w:line="240" w:lineRule="auto"/>
      </w:pPr>
      <w:r>
        <w:rPr>
          <w:rFonts w:ascii="TH SarabunPSK" w:cs="TH SarabunPSK" w:eastAsia="TH SarabunPSK" w:hAnsi="TH SarabunPSK"/>
          <w:sz w:val="32"/>
          <w:szCs w:val="32"/>
        </w:rPr>
        <w:t xml:space="preserve"/>
      </w:r>
    </w:p>
    <w:p>
      <w:pPr>
        <w:keepNext/>
        <w:spacing w:after="0" w:before="0" w:line="240" w:lineRule="auto"/>
        <w:ind w:firstLine="0"/>
        <w:jc w:val="left"/>
      </w:pPr>
      <w:r>
        <w:rPr>
          <w:rFonts w:ascii="TH SarabunPSK" w:cs="TH SarabunPSK" w:eastAsia="TH SarabunPSK" w:hAnsi="TH SarabunPSK"/>
          <w:b/>
          <w:bCs/>
          <w:i w:val="false"/>
          <w:sz w:val="32"/>
          <w:szCs w:val="32"/>
        </w:rPr>
        <w:t xml:space="preserve">บทนำ</w:t>
      </w:r>
    </w:p>
    <w:p>
      <w:pPr>
        <w:spacing w:after="0" w:before="0" w:line="240" w:lineRule="auto"/>
        <w:ind w:firstLine="709"/>
        <w:jc w:val="thaiDistribute"/>
      </w:pPr>
      <w:r>
        <w:rPr>
          <w:rFonts w:ascii="TH SarabunPSK" w:cs="TH SarabunPSK" w:eastAsia="TH SarabunPSK" w:hAnsi="TH SarabunPSK"/>
          <w:b w:val="false"/>
          <w:i w:val="false"/>
          <w:sz w:val="32"/>
          <w:szCs w:val="32"/>
        </w:rPr>
        <w:t xml:space="preserve">ความรอบรู้ด้านสุขภาพ (Health Literacy) เป็นทักษะสำคัญและจำเป็นในการสร้างพฤติกรรมสุขภาพ ส่งเสริมให้ประชาชนพัฒนาขีดความสามารถในระดับบุคคลเพื่อการดูแลสุขภาพของตนเองอย่างยั่งยืน กรมอนามัย กระทรวงสาธารณสุข ได้พัฒนากระบวนการส่งเสริมความรอบรู้ด้านสุขภาพ “วีเชฟ (V-shape)” 6 ขั้นตอน ได้แก่ การเข้าถึง การเข้าใจ การซักถามและแลกเปลี่ยน การตัดสินใจ การเปลี่ยนพฤติกรรม และการบอกต่อ (กรมอนามัย, 2560; วชิระ เพ็งจันทร์, 2560) ซึ่งมุ่งยกระดับจากการ “รู้แต่ไม่ทำ” ไปสู่การมีทักษะแสวงหา แยกแยะข้อมูลจริงและข้อมูลลวง และใช้ข้อมูลสุขภาพที่ถูกต้องสอดคล้องกับวิถีชีวิตของตนเองไปประกอบการตัดสินใจจนเกิดการเปลี่ยนแปลงพฤติกรรมอย่างเป็นรูปธรรม และสามารถบอกเล่าความสำเร็จให้ผู้อื่นได้ (สำนักส่งเสริมสุขภาพ, 2565)</w:t>
      </w:r>
    </w:p>
    <w:p>
      <w:pPr>
        <w:spacing w:after="0" w:before="0" w:line="240" w:lineRule="auto"/>
        <w:ind w:firstLine="709"/>
        <w:jc w:val="thaiDistribute"/>
      </w:pPr>
      <w:r>
        <w:rPr>
          <w:rFonts w:ascii="TH SarabunPSK" w:cs="TH SarabunPSK" w:eastAsia="TH SarabunPSK" w:hAnsi="TH SarabunPSK"/>
          <w:b w:val="false"/>
          <w:i w:val="false"/>
          <w:sz w:val="32"/>
          <w:szCs w:val="32"/>
        </w:rPr>
        <w:t xml:space="preserve">แม้ประเทศไทยจะมีความก้าวหน้าในการขับเคลื่อนงานดังกล่าว แต่ผลการสำรวจความรอบรู้ด้านสุขภาพของประชาชนไทย อายุ 15 ปีขึ้นไป พ.ศ. 2566 (ครั้งที่ 2) พบว่า ประชาชนไทยโดยรวมมีความรอบรู้ด้านสุขภาพในระดับเพียงพอ ร้อยละ 80.9 แต่ในเขตสุขภาพที่ 2 มีเพียงร้อยละ 65.7 ซึ่งต่ำกว่าเกณฑ์มาตรฐานร้อยละ 66 และต่ำกว่าค่าเฉลี่ยประเทศ นอกจากนี้ทักษะ “การใช้ข้อมูลเพื่อตัดสินใจ” เป็นทักษะที่คนไทยมีคะแนนเฉลี่ยต่ำที่สุด และเขตสุขภาพที่ 2 มีคะแนนเฉลี่ยต่ำที่สุดในทักษะ “การเข้าถึงข้อมูลที่น่าเชื่อถือ” และ “การซักถามข้อสงสัย” เมื่อเทียบกับทุกเขตสุขภาพ (สถาบันวิจัยระบบสาธารณสุข, 2567) สะท้อนว่าประชาชนในพื้นที่ยังขาดทักษะในการประเมินความถูกต้องของข้อมูลสุขภาพที่เผยแพร่ผ่านสื่อออนไลน์ โดยเฉพาะภายหลังสถานการณ์โรคโควิด-19 ที่การดำรงชีวิตแบบ “วิถีชีวิตปกติใหม่ (New Normal)” ทำให้การใช้เทคโนโลยีดิจิทัลเพื่อเข้าถึงข้อมูลสุขภาพกลายเป็นสิ่งจำเป็น</w:t>
      </w:r>
    </w:p>
    <w:p>
      <w:pPr>
        <w:spacing w:after="0" w:before="0" w:line="240" w:lineRule="auto"/>
        <w:ind w:firstLine="709"/>
        <w:jc w:val="thaiDistribute"/>
      </w:pPr>
      <w:r>
        <w:rPr>
          <w:rFonts w:ascii="TH SarabunPSK" w:cs="TH SarabunPSK" w:eastAsia="TH SarabunPSK" w:hAnsi="TH SarabunPSK"/>
          <w:b w:val="false"/>
          <w:i w:val="false"/>
          <w:sz w:val="32"/>
          <w:szCs w:val="32"/>
        </w:rPr>
        <w:t xml:space="preserve">สถานการณ์ดังกล่าวสะท้อนความจำเป็นในการพัฒนารูปแบบการเสริมสร้างความรอบรู้ด้านสุขภาพที่ตอบโจทย์บริบทของพื้นที่ ซึ่งต้องคำนึงถึงทั้ง “ความเชื่อด้านสุขภาพของบุคคล” และ “ทักษะการจัดการข้อมูลสุขภาพ” โดยทฤษฎีแบบแผนความเชื่อด้านสุขภาพ (Health Belief Model: HBM) อธิบายว่าพฤติกรรมสุขภาพเกิดจากการรับรู้โอกาสเสี่ยง (Perceived Susceptibility) การรับรู้ความรุนแรงของโรค (Perceived Severity) การรับรู้ประโยชน์ของการปฏิบัติ (Perceived Benefits) และการรับรู้อุปสรรค (Perceived Barriers) (Rosenstock, 1974; Becker, 1974) ผู้วิจัยจึงศึกษาผลของรูปแบบการยกระดับครอบครัว ชุมชนรอบรู้สุขภาพภายใต้วิถีชีวิตปกติใหม่ ที่บูรณาการแนวคิดดังกล่าวเข้ากับกรอบ V-shape เพื่อให้แกนนำครอบครัวมีทักษะในการเข้าถึง เข้าใจ ซักถาม ตัดสินใจ และปรับเปลี่ยนพฤติกรรมสุขภาพอย่างเหมาะสม และเป็นต้นแบบในการขยายผลไปยังชุมชนอื่นในเขตสุขภาพที่ 2 ต่อไป</w:t>
      </w:r>
    </w:p>
    <w:p>
      <w:pPr>
        <w:spacing w:after="0" w:before="0" w:line="240" w:lineRule="auto"/>
      </w:pPr>
      <w:r>
        <w:rPr>
          <w:rFonts w:ascii="TH SarabunPSK" w:cs="TH SarabunPSK" w:eastAsia="TH SarabunPSK" w:hAnsi="TH SarabunPSK"/>
          <w:sz w:val="32"/>
          <w:szCs w:val="32"/>
        </w:rPr>
        <w:t xml:space="preserve"/>
      </w:r>
    </w:p>
    <w:p>
      <w:pPr>
        <w:keepNext/>
        <w:spacing w:after="0" w:before="0" w:line="240" w:lineRule="auto"/>
        <w:ind w:firstLine="0"/>
        <w:jc w:val="left"/>
      </w:pPr>
      <w:r>
        <w:rPr>
          <w:rFonts w:ascii="TH SarabunPSK" w:cs="TH SarabunPSK" w:eastAsia="TH SarabunPSK" w:hAnsi="TH SarabunPSK"/>
          <w:b/>
          <w:bCs/>
          <w:i w:val="false"/>
          <w:sz w:val="32"/>
          <w:szCs w:val="32"/>
        </w:rPr>
        <w:t xml:space="preserve">วัตถุประสงค์การวิจัย</w:t>
      </w:r>
    </w:p>
    <w:p>
      <w:pPr>
        <w:spacing w:after="0" w:before="0" w:line="240" w:lineRule="auto"/>
        <w:ind w:firstLine="709"/>
        <w:jc w:val="thaiDistribute"/>
      </w:pPr>
      <w:r>
        <w:rPr>
          <w:rFonts w:ascii="TH SarabunPSK" w:cs="TH SarabunPSK" w:eastAsia="TH SarabunPSK" w:hAnsi="TH SarabunPSK"/>
          <w:b w:val="false"/>
          <w:i w:val="false"/>
          <w:sz w:val="32"/>
          <w:szCs w:val="32"/>
        </w:rPr>
        <w:t xml:space="preserve">1) เพื่อศึกษาผลของแบบแผนความเชื่อด้านสุขภาพและความรอบรู้ด้านสุขภาพ ภายใต้รูปแบบการยกระดับครอบครัว ชุมชนรอบรู้สุขภาพภายใต้วิถีชีวิตปกติใหม่ จังหวัดพิษณุโลก</w:t>
      </w:r>
    </w:p>
    <w:p>
      <w:pPr>
        <w:spacing w:after="0" w:before="0" w:line="240" w:lineRule="auto"/>
        <w:ind w:firstLine="709"/>
        <w:jc w:val="thaiDistribute"/>
      </w:pPr>
      <w:r>
        <w:rPr>
          <w:rFonts w:ascii="TH SarabunPSK" w:cs="TH SarabunPSK" w:eastAsia="TH SarabunPSK" w:hAnsi="TH SarabunPSK"/>
          <w:b w:val="false"/>
          <w:i w:val="false"/>
          <w:sz w:val="32"/>
          <w:szCs w:val="32"/>
        </w:rPr>
        <w:t xml:space="preserve">2) เพื่อเปรียบเทียบคะแนนแบบแผนความเชื่อด้านสุขภาพและความรอบรู้ด้านสุขภาพของแกนนำครอบครัว ก่อนและหลังเข้าร่วมรูปแบบการยกระดับครอบครัว ชุมชนรอบรู้สุขภาพภายใต้วิถีชีวิตปกติใหม่ จังหวัดพิษณุโลก</w:t>
      </w:r>
    </w:p>
    <w:p>
      <w:pPr>
        <w:spacing w:after="0" w:before="0" w:line="240" w:lineRule="auto"/>
      </w:pPr>
      <w:r>
        <w:rPr>
          <w:rFonts w:ascii="TH SarabunPSK" w:cs="TH SarabunPSK" w:eastAsia="TH SarabunPSK" w:hAnsi="TH SarabunPSK"/>
          <w:sz w:val="32"/>
          <w:szCs w:val="32"/>
        </w:rPr>
        <w:t xml:space="preserve"/>
      </w:r>
    </w:p>
    <w:p>
      <w:pPr>
        <w:keepNext/>
        <w:spacing w:after="0" w:before="0" w:line="240" w:lineRule="auto"/>
        <w:ind w:firstLine="0"/>
        <w:jc w:val="left"/>
      </w:pPr>
      <w:r>
        <w:rPr>
          <w:rFonts w:ascii="TH SarabunPSK" w:cs="TH SarabunPSK" w:eastAsia="TH SarabunPSK" w:hAnsi="TH SarabunPSK"/>
          <w:b/>
          <w:bCs/>
          <w:i w:val="false"/>
          <w:sz w:val="32"/>
          <w:szCs w:val="32"/>
        </w:rPr>
        <w:t xml:space="preserve">สมมติฐานการวิจัย</w:t>
      </w:r>
    </w:p>
    <w:p>
      <w:pPr>
        <w:spacing w:after="0" w:before="0" w:line="240" w:lineRule="auto"/>
        <w:ind w:firstLine="709"/>
        <w:jc w:val="thaiDistribute"/>
      </w:pPr>
      <w:r>
        <w:rPr>
          <w:rFonts w:ascii="TH SarabunPSK" w:cs="TH SarabunPSK" w:eastAsia="TH SarabunPSK" w:hAnsi="TH SarabunPSK"/>
          <w:b w:val="false"/>
          <w:i w:val="false"/>
          <w:sz w:val="32"/>
          <w:szCs w:val="32"/>
        </w:rPr>
        <w:t xml:space="preserve">1) แกนนำครอบครัวที่เข้าร่วมรูปแบบการยกระดับครอบครัว ชุมชนรอบรู้สุขภาพภายใต้วิถีชีวิตปกติใหม่ มีคะแนนแบบแผนความเชื่อด้านสุขภาพและคะแนนความรอบรู้ด้านสุขภาพหลังเข้าร่วมรูปแบบสูงกว่าก่อนเข้าร่วมรูปแบบอย่างมีนัยสำคัญทางสถิติ</w:t>
      </w:r>
    </w:p>
    <w:p>
      <w:pPr>
        <w:spacing w:after="0" w:before="0" w:line="240" w:lineRule="auto"/>
        <w:ind w:firstLine="709"/>
        <w:jc w:val="thaiDistribute"/>
      </w:pPr>
      <w:r>
        <w:rPr>
          <w:rFonts w:ascii="TH SarabunPSK" w:cs="TH SarabunPSK" w:eastAsia="TH SarabunPSK" w:hAnsi="TH SarabunPSK"/>
          <w:b w:val="false"/>
          <w:i w:val="false"/>
          <w:sz w:val="32"/>
          <w:szCs w:val="32"/>
        </w:rPr>
        <w:t xml:space="preserve">2) แกนนำครอบครัวที่เข้าร่วมรูปแบบการยกระดับครอบครัว ชุมชนรอบรู้สุขภาพภายใต้วิถีชีวิตปกติใหม่ มีคะแนนแบบแผนความเชื่อด้านสุขภาพและคะแนนความรอบรู้ด้านสุขภาพสูงกว่ากลุ่มที่ไม่ได้เข้าร่วมรูปแบบอย่างมีนัยสำคัญทางสถิติ</w:t>
      </w:r>
    </w:p>
    <w:p>
      <w:pPr>
        <w:spacing w:after="0" w:before="0" w:line="240" w:lineRule="auto"/>
      </w:pPr>
      <w:r>
        <w:rPr>
          <w:rFonts w:ascii="TH SarabunPSK" w:cs="TH SarabunPSK" w:eastAsia="TH SarabunPSK" w:hAnsi="TH SarabunPSK"/>
          <w:sz w:val="32"/>
          <w:szCs w:val="32"/>
        </w:rPr>
        <w:t xml:space="preserve"/>
      </w:r>
    </w:p>
    <w:p>
      <w:pPr>
        <w:keepNext/>
        <w:spacing w:after="0" w:before="0" w:line="240" w:lineRule="auto"/>
        <w:ind w:firstLine="0"/>
        <w:jc w:val="left"/>
      </w:pPr>
      <w:r>
        <w:rPr>
          <w:rFonts w:ascii="TH SarabunPSK" w:cs="TH SarabunPSK" w:eastAsia="TH SarabunPSK" w:hAnsi="TH SarabunPSK"/>
          <w:b/>
          <w:bCs/>
          <w:i w:val="false"/>
          <w:sz w:val="32"/>
          <w:szCs w:val="32"/>
        </w:rPr>
        <w:t xml:space="preserve">กรอบแนวคิดการวิจัย</w:t>
      </w:r>
    </w:p>
    <w:p>
      <w:pPr>
        <w:spacing w:after="0" w:before="0" w:line="240" w:lineRule="auto"/>
        <w:ind w:firstLine="709"/>
        <w:jc w:val="thaiDistribute"/>
      </w:pPr>
      <w:r>
        <w:rPr>
          <w:rFonts w:ascii="TH SarabunPSK" w:cs="TH SarabunPSK" w:eastAsia="TH SarabunPSK" w:hAnsi="TH SarabunPSK"/>
          <w:b w:val="false"/>
          <w:i w:val="false"/>
          <w:sz w:val="32"/>
          <w:szCs w:val="32"/>
        </w:rPr>
        <w:t xml:space="preserve">การวิจัยครั้งนี้บูรณาการทฤษฎีแบบแผนความเชื่อด้านสุขภาพ (Rosenstock, 1974; Becker, 1974) เข้ากับกรอบ V-shape ของกรมอนามัย (สำนักส่งเสริมสุขภาพ, 2565) โดยมีรูปแบบการยกระดับครอบครัว ชุมชนรอบรู้สุขภาพภายใต้วิถีชีวิตปกติใหม่ เป็นตัวแปรต้น และแบบแผนความเชื่อด้านสุขภาพและความรอบรู้ด้านสุขภาพเป็นตัวแปรตาม ดังภาพที่ 1</w:t>
      </w:r>
    </w:p>
    <w:p>
      <w:pPr>
        <w:spacing w:after="0" w:before="0" w:line="240" w:lineRule="auto"/>
      </w:pPr>
      <w:r>
        <w:rPr>
          <w:rFonts w:ascii="TH SarabunPSK" w:cs="TH SarabunPSK" w:eastAsia="TH SarabunPSK" w:hAnsi="TH SarabunPSK"/>
          <w:sz w:val="16"/>
          <w:szCs w:val="1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26"/>
        <w:gridCol w:w="600"/>
        <w:gridCol w:w="3200"/>
      </w:tblGrid>
      <w:tr>
        <w:trPr>
          <w:cantSplit/>
        </w:trPr>
        <w:tc>
          <w:tcPr>
            <w:tcW w:type="dxa" w:w="5226"/>
            <w:tcBorders>
              <w:top w:val="none" w:color="FFFFFF" w:sz="0"/>
              <w:left w:val="none" w:color="FFFFFF" w:sz="0"/>
              <w:bottom w:val="none" w:color="FFFFFF" w:sz="0"/>
              <w:right w:val="none" w:color="FFFFFF" w:sz="0"/>
            </w:tcBorders>
            <w:vAlign w:val="center"/>
          </w:tcPr>
          <w:p>
            <w:pPr>
              <w:spacing w:after="0" w:before="0" w:line="240" w:lineRule="auto"/>
              <w:jc w:val="center"/>
            </w:pPr>
            <w:r>
              <w:rPr>
                <w:rFonts w:ascii="TH SarabunPSK" w:cs="TH SarabunPSK" w:eastAsia="TH SarabunPSK" w:hAnsi="TH SarabunPSK"/>
                <w:b/>
                <w:bCs/>
                <w:i w:val="false"/>
                <w:sz w:val="28"/>
                <w:szCs w:val="28"/>
              </w:rPr>
              <w:t xml:space="preserve">ตัวแปรต้น</w:t>
            </w:r>
          </w:p>
        </w:tc>
        <w:tc>
          <w:tcPr>
            <w:tcW w:type="dxa" w:w="600"/>
            <w:tcBorders>
              <w:top w:val="none" w:color="FFFFFF" w:sz="0"/>
              <w:left w:val="none" w:color="FFFFFF" w:sz="0"/>
              <w:bottom w:val="none" w:color="FFFFFF" w:sz="0"/>
              <w:right w:val="none" w:color="FFFFFF" w:sz="0"/>
            </w:tcBorders>
            <w:vAlign w:val="center"/>
          </w:tcPr>
          <w:p>
            <w:pPr>
              <w:spacing w:after="0" w:before="0" w:line="240" w:lineRule="auto"/>
              <w:jc w:val="left"/>
            </w:pPr>
          </w:p>
        </w:tc>
        <w:tc>
          <w:tcPr>
            <w:tcW w:type="dxa" w:w="3200"/>
            <w:tcBorders>
              <w:top w:val="none" w:color="FFFFFF" w:sz="0"/>
              <w:left w:val="none" w:color="FFFFFF" w:sz="0"/>
              <w:bottom w:val="none" w:color="FFFFFF" w:sz="0"/>
              <w:right w:val="none" w:color="FFFFFF" w:sz="0"/>
            </w:tcBorders>
            <w:vAlign w:val="center"/>
          </w:tcPr>
          <w:p>
            <w:pPr>
              <w:spacing w:after="0" w:before="0" w:line="240" w:lineRule="auto"/>
              <w:jc w:val="center"/>
            </w:pPr>
            <w:r>
              <w:rPr>
                <w:rFonts w:ascii="TH SarabunPSK" w:cs="TH SarabunPSK" w:eastAsia="TH SarabunPSK" w:hAnsi="TH SarabunPSK"/>
                <w:b/>
                <w:bCs/>
                <w:i w:val="false"/>
                <w:sz w:val="28"/>
                <w:szCs w:val="28"/>
              </w:rPr>
              <w:t xml:space="preserve">ตัวแปรตาม</w:t>
            </w:r>
          </w:p>
        </w:tc>
      </w:tr>
      <w:tr>
        <w:trPr>
          <w:cantSplit/>
        </w:trPr>
        <w:tc>
          <w:tcPr>
            <w:tcW w:type="dxa" w:w="5226"/>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40" w:lineRule="auto"/>
              <w:jc w:val="center"/>
            </w:pPr>
            <w:r>
              <w:rPr>
                <w:rFonts w:ascii="TH SarabunPSK" w:cs="TH SarabunPSK" w:eastAsia="TH SarabunPSK" w:hAnsi="TH SarabunPSK"/>
                <w:b/>
                <w:bCs/>
                <w:i w:val="false"/>
                <w:sz w:val="28"/>
                <w:szCs w:val="28"/>
              </w:rPr>
              <w:t xml:space="preserve">รูปแบบการยกระดับครอบครัว ชุมชนรอบรู้สุขภาพ ภายใต้วิถีชีวิตปกติใหม่</w:t>
            </w:r>
          </w:p>
          <w:p>
            <w:pPr>
              <w:spacing w:after="0" w:before="0" w:line="240" w:lineRule="auto"/>
              <w:jc w:val="left"/>
            </w:pPr>
            <w:r>
              <w:rPr>
                <w:rFonts w:ascii="TH SarabunPSK" w:cs="TH SarabunPSK" w:eastAsia="TH SarabunPSK" w:hAnsi="TH SarabunPSK"/>
                <w:b/>
                <w:bCs/>
                <w:i w:val="false"/>
                <w:sz w:val="28"/>
                <w:szCs w:val="28"/>
              </w:rPr>
              <w:t xml:space="preserve">1) ด้านเนื้อหา</w:t>
            </w:r>
          </w:p>
          <w:p>
            <w:pPr>
              <w:spacing w:after="0" w:before="0" w:line="240" w:lineRule="auto"/>
              <w:ind w:left="284"/>
              <w:jc w:val="left"/>
            </w:pPr>
            <w:r>
              <w:rPr>
                <w:rFonts w:ascii="TH SarabunPSK" w:cs="TH SarabunPSK" w:eastAsia="TH SarabunPSK" w:hAnsi="TH SarabunPSK"/>
                <w:b w:val="false"/>
                <w:i w:val="false"/>
                <w:sz w:val="28"/>
                <w:szCs w:val="28"/>
              </w:rPr>
              <w:t xml:space="preserve">ชุดความรู้การยกระดับครอบครัว ชุมชนรอบรู้สุขภาพภายใต้วิถีชีวิตปกติใหม่</w:t>
            </w:r>
          </w:p>
          <w:p>
            <w:pPr>
              <w:spacing w:after="0" w:before="0" w:line="240" w:lineRule="auto"/>
              <w:jc w:val="left"/>
            </w:pPr>
            <w:r>
              <w:rPr>
                <w:rFonts w:ascii="TH SarabunPSK" w:cs="TH SarabunPSK" w:eastAsia="TH SarabunPSK" w:hAnsi="TH SarabunPSK"/>
                <w:b/>
                <w:bCs/>
                <w:i w:val="false"/>
                <w:sz w:val="28"/>
                <w:szCs w:val="28"/>
              </w:rPr>
              <w:t xml:space="preserve">2) ด้านกิจกรรม (12 สัปดาห์)</w:t>
            </w:r>
          </w:p>
          <w:p>
            <w:pPr>
              <w:spacing w:after="0" w:before="0" w:line="240" w:lineRule="auto"/>
              <w:ind w:left="284"/>
              <w:jc w:val="left"/>
            </w:pPr>
            <w:r>
              <w:rPr>
                <w:rFonts w:ascii="TH SarabunPSK" w:cs="TH SarabunPSK" w:eastAsia="TH SarabunPSK" w:hAnsi="TH SarabunPSK"/>
                <w:b w:val="false"/>
                <w:i w:val="false"/>
                <w:sz w:val="28"/>
                <w:szCs w:val="28"/>
              </w:rPr>
              <w:t xml:space="preserve">2.1 กิจกรรมแบบแผนความเชื่อด้านสุขภาพ: การรับรู้โอกาสเสี่ยงและความรุนแรง การรับรู้ประโยชน์และอุปสรรค</w:t>
            </w:r>
          </w:p>
          <w:p>
            <w:pPr>
              <w:spacing w:after="0" w:before="0" w:line="240" w:lineRule="auto"/>
              <w:ind w:left="284"/>
              <w:jc w:val="left"/>
            </w:pPr>
            <w:r>
              <w:rPr>
                <w:rFonts w:ascii="TH SarabunPSK" w:cs="TH SarabunPSK" w:eastAsia="TH SarabunPSK" w:hAnsi="TH SarabunPSK"/>
                <w:b w:val="false"/>
                <w:i w:val="false"/>
                <w:sz w:val="28"/>
                <w:szCs w:val="28"/>
              </w:rPr>
              <w:t xml:space="preserve">2.2 กิจกรรมสร้างความรอบรู้ด้านสุขภาพตามกรอบ V-shape: การเข้าถึง เข้าใจ ซักถาม ตัดสินใจ ปรับพฤติกรรม และบอกต่อ</w:t>
            </w:r>
          </w:p>
          <w:p>
            <w:pPr>
              <w:spacing w:after="0" w:before="0" w:line="240" w:lineRule="auto"/>
              <w:ind w:left="284"/>
              <w:jc w:val="left"/>
            </w:pPr>
            <w:r>
              <w:rPr>
                <w:rFonts w:ascii="TH SarabunPSK" w:cs="TH SarabunPSK" w:eastAsia="TH SarabunPSK" w:hAnsi="TH SarabunPSK"/>
                <w:b w:val="false"/>
                <w:i w:val="false"/>
                <w:sz w:val="28"/>
                <w:szCs w:val="28"/>
              </w:rPr>
              <w:t xml:space="preserve">2.3 แผนส่งเสริมสุขภาพดีรายครัวเรือน และแพลตฟอร์มดิจิทัล (Thai Save Family, ก้าวท้าใจ)</w:t>
            </w:r>
          </w:p>
        </w:tc>
        <w:tc>
          <w:tcPr>
            <w:tcW w:type="dxa" w:w="600"/>
            <w:tcBorders>
              <w:top w:val="none" w:color="FFFFFF" w:sz="0"/>
              <w:left w:val="none" w:color="FFFFFF" w:sz="0"/>
              <w:bottom w:val="none" w:color="FFFFFF" w:sz="0"/>
              <w:right w:val="none" w:color="FFFFFF" w:sz="0"/>
            </w:tcBorders>
            <w:vAlign w:val="center"/>
          </w:tcPr>
          <w:p>
            <w:pPr>
              <w:spacing w:after="0" w:before="0" w:line="240" w:lineRule="auto"/>
              <w:jc w:val="center"/>
            </w:pPr>
            <w:r>
              <w:rPr>
                <w:rFonts w:ascii="Times New Roman" w:cs="Times New Roman" w:eastAsia="Times New Roman" w:hAnsi="Times New Roman"/>
                <w:b/>
                <w:bCs/>
                <w:i w:val="false"/>
                <w:sz w:val="24"/>
                <w:szCs w:val="24"/>
              </w:rPr>
              <w:t xml:space="preserve">→</w:t>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center"/>
          </w:tcPr>
          <w:p>
            <w:pPr>
              <w:spacing w:after="0" w:before="0" w:line="240" w:lineRule="auto"/>
              <w:jc w:val="left"/>
            </w:pPr>
            <w:r>
              <w:rPr>
                <w:rFonts w:ascii="TH SarabunPSK" w:cs="TH SarabunPSK" w:eastAsia="TH SarabunPSK" w:hAnsi="TH SarabunPSK"/>
                <w:b/>
                <w:bCs/>
                <w:i w:val="false"/>
                <w:sz w:val="28"/>
                <w:szCs w:val="28"/>
              </w:rPr>
              <w:t xml:space="preserve">1) แบบแผนความเชื่อด้านสุขภาพ</w:t>
            </w:r>
          </w:p>
          <w:p>
            <w:pPr>
              <w:spacing w:after="0" w:before="0" w:line="240" w:lineRule="auto"/>
              <w:ind w:left="284"/>
              <w:jc w:val="left"/>
            </w:pPr>
            <w:r>
              <w:rPr>
                <w:rFonts w:ascii="TH SarabunPSK" w:cs="TH SarabunPSK" w:eastAsia="TH SarabunPSK" w:hAnsi="TH SarabunPSK"/>
                <w:b w:val="false"/>
                <w:i w:val="false"/>
                <w:sz w:val="28"/>
                <w:szCs w:val="28"/>
              </w:rPr>
              <w:t xml:space="preserve">การรับรู้โอกาสเสี่ยง ความรุนแรงของโรค ประโยชน์ และอุปสรรค</w:t>
            </w:r>
          </w:p>
          <w:p>
            <w:pPr>
              <w:spacing w:after="0" w:before="0" w:line="240" w:lineRule="auto"/>
              <w:jc w:val="left"/>
            </w:pPr>
            <w:r>
              <w:rPr>
                <w:rFonts w:ascii="TH SarabunPSK" w:cs="TH SarabunPSK" w:eastAsia="TH SarabunPSK" w:hAnsi="TH SarabunPSK"/>
                <w:b/>
                <w:bCs/>
                <w:i w:val="false"/>
                <w:sz w:val="28"/>
                <w:szCs w:val="28"/>
              </w:rPr>
              <w:t xml:space="preserve">2) ความรอบรู้ด้านสุขภาพ</w:t>
            </w:r>
          </w:p>
          <w:p>
            <w:pPr>
              <w:spacing w:after="0" w:before="0" w:line="240" w:lineRule="auto"/>
              <w:ind w:left="284"/>
              <w:jc w:val="left"/>
            </w:pPr>
            <w:r>
              <w:rPr>
                <w:rFonts w:ascii="TH SarabunPSK" w:cs="TH SarabunPSK" w:eastAsia="TH SarabunPSK" w:hAnsi="TH SarabunPSK"/>
                <w:b w:val="false"/>
                <w:i w:val="false"/>
                <w:sz w:val="28"/>
                <w:szCs w:val="28"/>
              </w:rPr>
              <w:t xml:space="preserve">ความรู้ความเข้าใจ การเข้าถึงข้อมูล การสื่อสาร การจัดการตนเอง การตัดสินใจเลือกปฏิบัติ และการบอกต่อ</w:t>
            </w:r>
          </w:p>
        </w:tc>
      </w:tr>
    </w:tbl>
    <w:p>
      <w:pPr>
        <w:spacing w:after="0" w:before="0" w:line="240" w:lineRule="auto"/>
      </w:pPr>
      <w:r>
        <w:rPr>
          <w:rFonts w:ascii="TH SarabunPSK" w:cs="TH SarabunPSK" w:eastAsia="TH SarabunPSK" w:hAnsi="TH SarabunPSK"/>
          <w:sz w:val="16"/>
          <w:szCs w:val="16"/>
        </w:rPr>
        <w:t xml:space="preserve"/>
      </w:r>
    </w:p>
    <w:p>
      <w:pPr>
        <w:spacing w:after="0" w:before="0" w:line="240" w:lineRule="auto"/>
        <w:ind w:firstLine="0"/>
        <w:jc w:val="center"/>
      </w:pPr>
      <w:r>
        <w:rPr>
          <w:rFonts w:ascii="TH SarabunPSK" w:cs="TH SarabunPSK" w:eastAsia="TH SarabunPSK" w:hAnsi="TH SarabunPSK"/>
          <w:b/>
          <w:bCs/>
          <w:i w:val="false"/>
          <w:sz w:val="32"/>
          <w:szCs w:val="32"/>
        </w:rPr>
        <w:t xml:space="preserve">ภาพที่ 1</w:t>
      </w:r>
      <w:r>
        <w:rPr>
          <w:rFonts w:ascii="TH SarabunPSK" w:cs="TH SarabunPSK" w:eastAsia="TH SarabunPSK" w:hAnsi="TH SarabunPSK"/>
          <w:b w:val="false"/>
          <w:i w:val="false"/>
          <w:sz w:val="32"/>
          <w:szCs w:val="32"/>
        </w:rPr>
        <w:t xml:space="preserve"> กรอบแนวคิดการวิจัย</w:t>
      </w:r>
    </w:p>
    <w:p>
      <w:pPr>
        <w:spacing w:after="0" w:before="0" w:line="240" w:lineRule="auto"/>
      </w:pPr>
      <w:r>
        <w:rPr>
          <w:rFonts w:ascii="TH SarabunPSK" w:cs="TH SarabunPSK" w:eastAsia="TH SarabunPSK" w:hAnsi="TH SarabunPSK"/>
          <w:sz w:val="32"/>
          <w:szCs w:val="32"/>
        </w:rPr>
        <w:t xml:space="preserve"/>
      </w:r>
    </w:p>
    <w:p>
      <w:pPr>
        <w:keepNext/>
        <w:spacing w:after="0" w:before="0" w:line="240" w:lineRule="auto"/>
        <w:ind w:firstLine="0"/>
        <w:jc w:val="left"/>
      </w:pPr>
      <w:r>
        <w:rPr>
          <w:rFonts w:ascii="TH SarabunPSK" w:cs="TH SarabunPSK" w:eastAsia="TH SarabunPSK" w:hAnsi="TH SarabunPSK"/>
          <w:b/>
          <w:bCs/>
          <w:i w:val="false"/>
          <w:sz w:val="32"/>
          <w:szCs w:val="32"/>
        </w:rPr>
        <w:t xml:space="preserve">ระเบียบวิธีวิจัย</w:t>
      </w:r>
    </w:p>
    <w:p>
      <w:pPr>
        <w:spacing w:after="0" w:before="0" w:line="240" w:lineRule="auto"/>
        <w:ind w:firstLine="709"/>
        <w:jc w:val="thaiDistribute"/>
      </w:pPr>
      <w:r>
        <w:rPr>
          <w:rFonts w:ascii="TH SarabunPSK" w:cs="TH SarabunPSK" w:eastAsia="TH SarabunPSK" w:hAnsi="TH SarabunPSK"/>
          <w:b w:val="false"/>
          <w:i w:val="false"/>
          <w:sz w:val="32"/>
          <w:szCs w:val="32"/>
        </w:rPr>
        <w:t xml:space="preserve">การวิจัยครั้งนี้เป็นการวิจัยกึ่งทดลอง (Quasi-Experimental Research) แบบสองกลุ่มวัดก่อนและหลังการทดลอง (Two Groups Pretest-Posttest Design) ดำเนินการระหว่างเดือนกุมภาพันธ์ ถึงเดือนมิถุนายน พ.ศ. 2566</w:t>
      </w:r>
    </w:p>
    <w:p>
      <w:pPr>
        <w:spacing w:after="0" w:before="0" w:line="240" w:lineRule="auto"/>
        <w:ind w:firstLine="709"/>
        <w:jc w:val="thaiDistribute"/>
      </w:pPr>
      <w:r>
        <w:rPr>
          <w:rFonts w:ascii="TH SarabunPSK" w:cs="TH SarabunPSK" w:eastAsia="TH SarabunPSK" w:hAnsi="TH SarabunPSK"/>
          <w:b/>
          <w:bCs/>
          <w:i w:val="false"/>
          <w:sz w:val="32"/>
          <w:szCs w:val="32"/>
        </w:rPr>
        <w:t xml:space="preserve">ประชากรและกลุ่มตัวอย่าง</w:t>
      </w:r>
      <w:r>
        <w:rPr>
          <w:rFonts w:ascii="TH SarabunPSK" w:cs="TH SarabunPSK" w:eastAsia="TH SarabunPSK" w:hAnsi="TH SarabunPSK"/>
          <w:b w:val="false"/>
          <w:i w:val="false"/>
          <w:sz w:val="32"/>
          <w:szCs w:val="32"/>
        </w:rPr>
        <w:t xml:space="preserve"> ประชากร คือ แกนนำซึ่งเป็นอาสาสมัครจากครอบครัวที่อาศัยอยู่ในชุมชนตลอดระยะเวลาที่ดำเนินการวิจัยในจังหวัดพิษณุโลก ขนาดกลุ่มตัวอย่างคำนวณด้วยโปรแกรม G*Power 3 (Faul et al., 2007, 2009; นงลักษณ์ วิรัชชัย, 2555) กำหนดขนาดอิทธิพลเท่ากับ 0.80 ระดับนัยสำคัญ (</w:t>
      </w:r>
      <w:r>
        <w:rPr>
          <w:rFonts w:ascii="Times New Roman" w:cs="Times New Roman" w:eastAsia="Times New Roman" w:hAnsi="Times New Roman"/>
          <w:b w:val="false"/>
          <w:i w:val="false"/>
          <w:sz w:val="28"/>
          <w:szCs w:val="28"/>
        </w:rPr>
        <w:t xml:space="preserve">α</w:t>
      </w:r>
      <w:r>
        <w:rPr>
          <w:rFonts w:ascii="TH SarabunPSK" w:cs="TH SarabunPSK" w:eastAsia="TH SarabunPSK" w:hAnsi="TH SarabunPSK"/>
          <w:b w:val="false"/>
          <w:i w:val="false"/>
          <w:sz w:val="32"/>
          <w:szCs w:val="32"/>
        </w:rPr>
        <w:t xml:space="preserve">) เท่ากับ 0.05 อำนาจการทดสอบเท่ากับ 0.95 และอัตราส่วนขนาดตัวอย่างสองกลุ่มเท่ากับ 1 ได้กลุ่มตัวอย่างกลุ่มละ 35 คน และเพิ่มเพื่อชดเชยการสูญหายร้อยละ 15 เป็นกลุ่มละ 40 คน รวม 80 คน</w:t>
      </w:r>
    </w:p>
    <w:p>
      <w:pPr>
        <w:spacing w:after="0" w:before="0" w:line="240" w:lineRule="auto"/>
        <w:ind w:firstLine="709"/>
        <w:jc w:val="thaiDistribute"/>
      </w:pPr>
      <w:r>
        <w:rPr>
          <w:rFonts w:ascii="TH SarabunPSK" w:cs="TH SarabunPSK" w:eastAsia="TH SarabunPSK" w:hAnsi="TH SarabunPSK"/>
          <w:b w:val="false"/>
          <w:i w:val="false"/>
          <w:sz w:val="32"/>
          <w:szCs w:val="32"/>
        </w:rPr>
        <w:t xml:space="preserve">การเลือกกลุ่มตัวอย่างใช้การสุ่มหลายขั้นตอน (Multi-stage Random Sampling) ร่วมกับการสุ่มแบบกลุ่ม (Cluster Sampling) ระดับตำบล ดังนี้ ขั้นที่ 1 สุ่มจังหวัดภาคละ 2 จังหวัดด้วยการจับฉลาก (Simple Random Sampling) ภาคเหนือได้จังหวัดเชียงรายและจังหวัดพิษณุโลก โดยจังหวัดพิษณุโลกเป็นพื้นที่ศึกษาของงานวิจัยนี้ ขั้นที่ 2 สุ่มอำเภอด้วยการจับฉลากแบบไม่ใส่คืน ได้อำเภอเมืองพิษณุโลก ขั้นที่ 3 สุ่มตำบลในอำเภอเมือง 2 ตำบล แล้วสุ่มจัดสรร (Random Allocation) ด้วยโปรแกรมสุ่มตัวเลขเป็นกลุ่มทดลองและกลุ่มเปรียบเทียบ และขั้นที่ 4 จัดทำบัญชีรายชื่อแกนนำครอบครัวที่มีคุณสมบัติครบร่วมกับ รพ.สต. อปท. และ อสม. ในแต่ละตำบล แล้วคัดเลือกผู้ที่ยินดีเข้าร่วมโครงการ ตำบลละ 40 คน</w:t>
      </w:r>
    </w:p>
    <w:p>
      <w:pPr>
        <w:spacing w:after="0" w:before="0" w:line="240" w:lineRule="auto"/>
        <w:ind w:firstLine="709"/>
        <w:jc w:val="thaiDistribute"/>
      </w:pPr>
      <w:r>
        <w:rPr>
          <w:rFonts w:ascii="TH SarabunPSK" w:cs="TH SarabunPSK" w:eastAsia="TH SarabunPSK" w:hAnsi="TH SarabunPSK"/>
          <w:b w:val="false"/>
          <w:i w:val="false"/>
          <w:sz w:val="32"/>
          <w:szCs w:val="32"/>
        </w:rPr>
        <w:t xml:space="preserve">เกณฑ์การคัดเข้า ได้แก่ 1) อายุ 18 ปีขึ้นไป 2) เป็นแกนนำครอบครัว/ชุมชน หรือผู้ดูแลกลุ่มเปราะบางในครอบครัว และอาศัยในพื้นที่ไม่น้อยกว่า 6 เดือน 3) อ่านและเขียนหนังสือได้ 4) มีโทรศัพท์มือถือที่สามารถดาวน์โหลดแอปพลิเคชัน Thai Save Family และก้าวท้าใจ ได้ 5) สามารถเข้าร่วมกิจกรรมได้ตลอดโปรแกรม และ 6) สมัครใจเข้าร่วมโครงการ เกณฑ์การคัดออก คือ ขาดคุณสมบัติข้อใดข้อหนึ่งตามเกณฑ์การคัดเข้า และเกณฑ์การให้เลิกจากการศึกษา คือ อาสาสมัครปฏิเสธการเข้าร่วมกิจกรรม ผู้วิจัยควบคุมความเอนเอียงโดยเก็บข้อมูลทั้งสองกลุ่มในช่วงเวลาใกล้เคียงกันด้วยแบบสอบถามและผู้เก็บข้อมูลที่ผ่านการฝึกมาตรฐานเดียวกัน</w:t>
      </w:r>
    </w:p>
    <w:p>
      <w:pPr>
        <w:spacing w:after="0" w:before="0" w:line="240" w:lineRule="auto"/>
        <w:ind w:firstLine="709"/>
        <w:jc w:val="thaiDistribute"/>
      </w:pPr>
      <w:r>
        <w:rPr>
          <w:rFonts w:ascii="TH SarabunPSK" w:cs="TH SarabunPSK" w:eastAsia="TH SarabunPSK" w:hAnsi="TH SarabunPSK"/>
          <w:b/>
          <w:bCs/>
          <w:i w:val="false"/>
          <w:sz w:val="32"/>
          <w:szCs w:val="32"/>
        </w:rPr>
        <w:t xml:space="preserve">เครื่องมือที่ใช้ในการวิจัย</w:t>
      </w:r>
      <w:r>
        <w:rPr>
          <w:rFonts w:ascii="TH SarabunPSK" w:cs="TH SarabunPSK" w:eastAsia="TH SarabunPSK" w:hAnsi="TH SarabunPSK"/>
          <w:b w:val="false"/>
          <w:i w:val="false"/>
          <w:sz w:val="32"/>
          <w:szCs w:val="32"/>
        </w:rPr>
        <w:t xml:space="preserve"> ประกอบด้วย 2 ส่วน ดังนี้</w:t>
      </w:r>
    </w:p>
    <w:p>
      <w:pPr>
        <w:spacing w:after="0" w:before="0" w:line="240" w:lineRule="auto"/>
        <w:ind w:firstLine="709"/>
        <w:jc w:val="thaiDistribute"/>
      </w:pPr>
      <w:r>
        <w:rPr>
          <w:rFonts w:ascii="TH SarabunPSK" w:cs="TH SarabunPSK" w:eastAsia="TH SarabunPSK" w:hAnsi="TH SarabunPSK"/>
          <w:b w:val="false"/>
          <w:i w:val="false"/>
          <w:sz w:val="32"/>
          <w:szCs w:val="32"/>
        </w:rPr>
        <w:t xml:space="preserve">1) เครื่องมือที่ใช้ในการทดลอง คือ รูปแบบการยกระดับครอบครัว ชุมชนรอบรู้สุขภาพภายใต้วิถีชีวิตปกติใหม่ ซึ่งใช้ชุดความรู้ของสำนักส่งเสริมสุขภาพ กรมอนามัย (สำนักส่งเสริมสุขภาพ, 2565) เนื้อหาประกอบด้วย การพัฒนาสุขภาพและการสร้างพลังชุมชน การวางแผนพัฒนาสุขภาพตนเองและครอบครัว การส่งเสริมสุขภาพตามหลัก 3อ 2ส การป้องกันโรคโควิด-19 แผนส่งเสริมสุขภาพดีรายครัวเรือน (Wellness Family Plan) และ Health Literacy Family Platform</w:t>
      </w:r>
    </w:p>
    <w:p>
      <w:pPr>
        <w:spacing w:after="0" w:before="0" w:line="240" w:lineRule="auto"/>
        <w:ind w:firstLine="709"/>
        <w:jc w:val="thaiDistribute"/>
      </w:pPr>
      <w:r>
        <w:rPr>
          <w:rFonts w:ascii="TH SarabunPSK" w:cs="TH SarabunPSK" w:eastAsia="TH SarabunPSK" w:hAnsi="TH SarabunPSK"/>
          <w:b w:val="false"/>
          <w:i w:val="false"/>
          <w:sz w:val="32"/>
          <w:szCs w:val="32"/>
        </w:rPr>
        <w:t xml:space="preserve">2) เครื่องมือที่ใช้ในการเก็บรวบรวมข้อมูล คือ แบบสอบถาม 2 ส่วน ได้แก่ ส่วนที่ 1 แบบแผนความเชื่อด้านสุขภาพ 4 ด้าน คือ การรับรู้โอกาสเสี่ยง การรับรู้ความรุนแรงของโรค การรับรู้ประโยชน์ของการรักษาป้องกันโรค และการรับรู้อุปสรรค (ด้านละ 3 คะแนน) แปลผลคะแนนเฉลี่ยเป็น 3 ระดับ ได้แก่ น้อย (0.00–1.00) ปานกลาง (1.01–2.00) และมาก (2.01–3.00) และส่วนที่ 2 ความรอบรู้ด้านสุขภาพตามชุดความรู้ 6 ด้าน คือ ความรู้ความเข้าใจ (1 คะแนน) การเข้าถึงข้อมูลสุขภาพ (3 คะแนน) การสื่อสารสุขภาพ (3 คะแนน) การจัดการตนเอง (3 คะแนน) การตัดสินใจและเลือกปฏิบัติที่ถูกต้อง (1 คะแนน) และการบอกต่อในครอบครัว ชุมชน (1 คะแนน) โดยแปลงคะแนนเฉลี่ยแต่ละด้านเป็นสัดส่วน (คะแนนเฉลี่ย/คะแนนเต็ม) และแปลผลเป็น 3 ระดับ ได้แก่ น้อย (0.00–0.49) ปานกลาง (0.50–0.74) และมาก (0.75–1.00)</w:t>
      </w:r>
    </w:p>
    <w:p>
      <w:pPr>
        <w:spacing w:after="0" w:before="0" w:line="240" w:lineRule="auto"/>
        <w:ind w:firstLine="709"/>
        <w:jc w:val="thaiDistribute"/>
      </w:pPr>
      <w:r>
        <w:rPr>
          <w:rFonts w:ascii="TH SarabunPSK" w:cs="TH SarabunPSK" w:eastAsia="TH SarabunPSK" w:hAnsi="TH SarabunPSK"/>
          <w:b/>
          <w:bCs/>
          <w:i w:val="false"/>
          <w:sz w:val="32"/>
          <w:szCs w:val="32"/>
        </w:rPr>
        <w:t xml:space="preserve">การตรวจสอบคุณภาพเครื่องมือ</w:t>
      </w:r>
      <w:r>
        <w:rPr>
          <w:rFonts w:ascii="TH SarabunPSK" w:cs="TH SarabunPSK" w:eastAsia="TH SarabunPSK" w:hAnsi="TH SarabunPSK"/>
          <w:b w:val="false"/>
          <w:i w:val="false"/>
          <w:sz w:val="32"/>
          <w:szCs w:val="32"/>
        </w:rPr>
        <w:t xml:space="preserve"> แบบสอบถามเป็นเครื่องมือมาตรฐานของโครงการวิจัยรูปแบบการพัฒนาครอบครัว ชุมชนรอบรู้สุขภาพภายใต้วิถีชีวิตปกติใหม่ สำนักส่งเสริมสุขภาพ กรมอนามัย </w:t>
      </w:r>
      <w:r>
        <w:rPr>
          <w:rFonts w:ascii="TH SarabunPSK" w:cs="TH SarabunPSK" w:eastAsia="TH SarabunPSK" w:hAnsi="TH SarabunPSK"/>
          <w:b w:val="false"/>
          <w:i w:val="false"/>
          <w:sz w:val="32"/>
          <w:szCs w:val="32"/>
          <w:highlight w:val="yellow"/>
        </w:rPr>
        <w:t xml:space="preserve">[โปรดระบุผลการตรวจสอบความตรงเชิงเนื้อหา (IOC) โดยผู้เชี่ยวชาญ และค่าความเชื่อมั่น (Cronbach’s alpha) ของแบบสอบถามแต่ละส่วน]</w:t>
      </w:r>
    </w:p>
    <w:p>
      <w:pPr>
        <w:spacing w:after="0" w:before="0" w:line="240" w:lineRule="auto"/>
        <w:ind w:firstLine="709"/>
        <w:jc w:val="thaiDistribute"/>
      </w:pPr>
      <w:r>
        <w:rPr>
          <w:rFonts w:ascii="TH SarabunPSK" w:cs="TH SarabunPSK" w:eastAsia="TH SarabunPSK" w:hAnsi="TH SarabunPSK"/>
          <w:b/>
          <w:bCs/>
          <w:i w:val="false"/>
          <w:sz w:val="32"/>
          <w:szCs w:val="32"/>
        </w:rPr>
        <w:t xml:space="preserve">การเก็บรวบรวมข้อมูล</w:t>
      </w:r>
      <w:r>
        <w:rPr>
          <w:rFonts w:ascii="TH SarabunPSK" w:cs="TH SarabunPSK" w:eastAsia="TH SarabunPSK" w:hAnsi="TH SarabunPSK"/>
          <w:b w:val="false"/>
          <w:i w:val="false"/>
          <w:sz w:val="32"/>
          <w:szCs w:val="32"/>
        </w:rPr>
        <w:t xml:space="preserve"> ผู้วิจัยดำเนินการเป็น 2 ขั้นตอน ดังนี้</w:t>
      </w:r>
    </w:p>
    <w:p>
      <w:pPr>
        <w:spacing w:after="0" w:before="0" w:line="240" w:lineRule="auto"/>
        <w:ind w:firstLine="709"/>
        <w:jc w:val="thaiDistribute"/>
      </w:pPr>
      <w:r>
        <w:rPr>
          <w:rFonts w:ascii="TH SarabunPSK" w:cs="TH SarabunPSK" w:eastAsia="TH SarabunPSK" w:hAnsi="TH SarabunPSK"/>
          <w:b w:val="false"/>
          <w:i w:val="false"/>
          <w:sz w:val="32"/>
          <w:szCs w:val="32"/>
        </w:rPr>
        <w:t xml:space="preserve">1) ขั้นเตรียมการ ผู้วิจัยทำหนังสือจากศูนย์อนามัยที่ 2 พิษณุโลก ถึงผู้อำนวยการ รพ.สต. ทั้ง 2 แห่ง เพื่อขอความร่วมมือและชี้แจงวัตถุประสงค์ คัดเลือกและชี้แจงผู้ช่วยวิจัยแห่งละ 1 คน และให้กลุ่มตัวอย่างลงนามยินยอมเข้าร่วมการวิจัย</w:t>
      </w:r>
    </w:p>
    <w:p>
      <w:pPr>
        <w:spacing w:after="0" w:before="0" w:line="240" w:lineRule="auto"/>
        <w:ind w:firstLine="709"/>
        <w:jc w:val="thaiDistribute"/>
      </w:pPr>
      <w:r>
        <w:rPr>
          <w:rFonts w:ascii="TH SarabunPSK" w:cs="TH SarabunPSK" w:eastAsia="TH SarabunPSK" w:hAnsi="TH SarabunPSK"/>
          <w:b w:val="false"/>
          <w:i w:val="false"/>
          <w:sz w:val="32"/>
          <w:szCs w:val="32"/>
        </w:rPr>
        <w:t xml:space="preserve">2) ขั้นดำเนินการทดลอง กลุ่มทดลองเข้าร่วมรูปแบบ 12 สัปดาห์ แบ่งเป็น 3 ช่วง ช่วงที่ 1 (สัปดาห์ที่ 1–4) การเตรียมความพร้อมและการติดตามตนเอง อบรม 6 ชั่วโมง ทดสอบก่อนการทดลอง และฝึกใช้แผนส่งเสริมสุขภาพดีรายครัวเรือนเพื่อตั้งเป้าหมายและวางแผนปรับพฤติกรรม แล้วติดตามผ่านกลุ่มย่อยสัปดาห์ละ 1 ชั่วโมง ช่วงที่ 2 (สัปดาห์ที่ 5–8) การเสริมสร้างความเชื่อและทักษะความรอบรู้ด้านสุขภาพ ได้แก่ กิจกรรม “ตระหนักรู้ความเสี่ยงและผลกระทบของโรค” ด้วยกรณีศึกษา (สัปดาห์ที่ 5) การระดมสมองวิเคราะห์ประโยชน์และอุปสรรคของการปฏิบัติ (สัปดาห์ที่ 6–7) และกิจกรรม “เข้าถึงและเข้าใจข้อมูลสุขภาพ” ฝึกใช้แพลตฟอร์ม Thai Save Family และก้าวท้าใจ (สัปดาห์ที่ 8) และช่วงที่ 3 (สัปดาห์ที่ 9–12) การประยุกต์ใช้ การถ่ายทอด และการประเมินผล ได้แก่ กิจกรรมวิเคราะห์ “ข่าวจริง–ข่าวลวง” และการใช้ข้อมูลเพื่อการตัดสินใจ (สัปดาห์ที่ 9–10) เวทีแลกเปลี่ยนเรียนรู้ (KM) เพื่อสร้างแรงเสริมและกระตุ้นการบอกต่อในชุมชน (สัปดาห์ที่ 11) และทดสอบหลังการทดลอง (สัปดาห์ที่ 12)</w:t>
      </w:r>
    </w:p>
    <w:p>
      <w:pPr>
        <w:spacing w:after="0" w:before="0" w:line="240" w:lineRule="auto"/>
        <w:ind w:firstLine="709"/>
        <w:jc w:val="thaiDistribute"/>
      </w:pPr>
      <w:r>
        <w:rPr>
          <w:rFonts w:ascii="TH SarabunPSK" w:cs="TH SarabunPSK" w:eastAsia="TH SarabunPSK" w:hAnsi="TH SarabunPSK"/>
          <w:b w:val="false"/>
          <w:i w:val="false"/>
          <w:sz w:val="32"/>
          <w:szCs w:val="32"/>
        </w:rPr>
        <w:t xml:space="preserve">สำหรับกลุ่มเปรียบเทียบได้รับบริการสุขภาพตามปกติของ รพ.สต. และการบรรยายสุขภาพทั่วไป 1 ครั้ง (60 นาที) ตามสื่อมาตรฐานของกรมอนามัย โดยไม่ใช้กรอบ V-shape ไม่มีกิจกรรมฝึกทักษะ การตั้งเป้าหมาย หรือแผนรายครัวเรือน มีการติดตามสั้น ๆ รายสัปดาห์ (ไม่เกิน 5 นาที) และทำแบบสอบถามหลังการทดลองด้วยเครื่องมือเดียวกับกลุ่มทดลอง</w:t>
      </w:r>
    </w:p>
    <w:p>
      <w:pPr>
        <w:spacing w:after="0" w:before="0" w:line="240" w:lineRule="auto"/>
        <w:ind w:firstLine="709"/>
        <w:jc w:val="thaiDistribute"/>
      </w:pPr>
      <w:r>
        <w:rPr>
          <w:rFonts w:ascii="TH SarabunPSK" w:cs="TH SarabunPSK" w:eastAsia="TH SarabunPSK" w:hAnsi="TH SarabunPSK"/>
          <w:b/>
          <w:bCs/>
          <w:i w:val="false"/>
          <w:sz w:val="32"/>
          <w:szCs w:val="32"/>
        </w:rPr>
        <w:t xml:space="preserve">การวิเคราะห์ข้อมูล</w:t>
      </w:r>
      <w:r>
        <w:rPr>
          <w:rFonts w:ascii="TH SarabunPSK" w:cs="TH SarabunPSK" w:eastAsia="TH SarabunPSK" w:hAnsi="TH SarabunPSK"/>
          <w:b w:val="false"/>
          <w:i w:val="false"/>
          <w:sz w:val="32"/>
          <w:szCs w:val="32"/>
        </w:rPr>
        <w:t xml:space="preserve"> วิเคราะห์ด้วยโปรแกรมสำเร็จรูปทางสถิติ โดยใช้สถิติเชิงพรรณนา ได้แก่ ค่าเฉลี่ย (</w:t>
      </w:r>
      <w:r>
        <w:rPr>
          <w:rFonts w:ascii="TH SarabunPSK" w:cs="TH SarabunPSK" w:eastAsia="TH SarabunPSK" w:hAnsi="TH SarabunPSK"/>
          <w:b w:val="false"/>
          <w:i/>
          <w:iCs/>
          <w:sz w:val="32"/>
          <w:szCs w:val="32"/>
        </w:rPr>
        <w:t xml:space="preserve">M</w:t>
      </w:r>
      <w:r>
        <w:rPr>
          <w:rFonts w:ascii="TH SarabunPSK" w:cs="TH SarabunPSK" w:eastAsia="TH SarabunPSK" w:hAnsi="TH SarabunPSK"/>
          <w:b w:val="false"/>
          <w:i w:val="false"/>
          <w:sz w:val="32"/>
          <w:szCs w:val="32"/>
        </w:rPr>
        <w:t xml:space="preserve">) และส่วนเบี่ยงเบนมาตรฐาน (</w:t>
      </w:r>
      <w:r>
        <w:rPr>
          <w:rFonts w:ascii="TH SarabunPSK" w:cs="TH SarabunPSK" w:eastAsia="TH SarabunPSK" w:hAnsi="TH SarabunPSK"/>
          <w:b w:val="false"/>
          <w:i/>
          <w:iCs/>
          <w:sz w:val="32"/>
          <w:szCs w:val="32"/>
        </w:rPr>
        <w:t xml:space="preserve">SD.</w:t>
      </w:r>
      <w:r>
        <w:rPr>
          <w:rFonts w:ascii="TH SarabunPSK" w:cs="TH SarabunPSK" w:eastAsia="TH SarabunPSK" w:hAnsi="TH SarabunPSK"/>
          <w:b w:val="false"/>
          <w:i w:val="false"/>
          <w:sz w:val="32"/>
          <w:szCs w:val="32"/>
        </w:rPr>
        <w:t xml:space="preserve">) และตรวจสอบการแจกแจงของข้อมูลด้วยสถิติ Kolmogorov-Smirnov และ Shapiro-Wilk Test พบว่าข้อมูลมีการแจกแจงไม่ปกติ จึงใช้สถิติ Wilcoxon Signed Ranks Test เปรียบเทียบภายในกลุ่มก่อนและหลังการทดลอง และ Mann-Whitney U Test เปรียบเทียบระหว่างกลุ่มทดลองและกลุ่มเปรียบเทียบ กำหนดระดับนัยสำคัญทางสถิติที่ 0.05</w:t>
      </w:r>
    </w:p>
    <w:p>
      <w:pPr>
        <w:spacing w:after="0" w:before="0" w:line="240" w:lineRule="auto"/>
      </w:pPr>
      <w:r>
        <w:rPr>
          <w:rFonts w:ascii="TH SarabunPSK" w:cs="TH SarabunPSK" w:eastAsia="TH SarabunPSK" w:hAnsi="TH SarabunPSK"/>
          <w:sz w:val="32"/>
          <w:szCs w:val="32"/>
        </w:rPr>
        <w:t xml:space="preserve"/>
      </w:r>
    </w:p>
    <w:p>
      <w:pPr>
        <w:keepNext/>
        <w:spacing w:after="0" w:before="0" w:line="240" w:lineRule="auto"/>
        <w:ind w:firstLine="0"/>
        <w:jc w:val="left"/>
      </w:pPr>
      <w:r>
        <w:rPr>
          <w:rFonts w:ascii="TH SarabunPSK" w:cs="TH SarabunPSK" w:eastAsia="TH SarabunPSK" w:hAnsi="TH SarabunPSK"/>
          <w:b/>
          <w:bCs/>
          <w:i w:val="false"/>
          <w:sz w:val="32"/>
          <w:szCs w:val="32"/>
        </w:rPr>
        <w:t xml:space="preserve">จริยธรรมการวิจัย</w:t>
      </w:r>
    </w:p>
    <w:p>
      <w:pPr>
        <w:spacing w:after="0" w:before="0" w:line="240" w:lineRule="auto"/>
        <w:ind w:firstLine="709"/>
        <w:jc w:val="thaiDistribute"/>
      </w:pPr>
      <w:r>
        <w:rPr>
          <w:rFonts w:ascii="TH SarabunPSK" w:cs="TH SarabunPSK" w:eastAsia="TH SarabunPSK" w:hAnsi="TH SarabunPSK"/>
          <w:b w:val="false"/>
          <w:i w:val="false"/>
          <w:sz w:val="32"/>
          <w:szCs w:val="32"/>
        </w:rPr>
        <w:t xml:space="preserve">การวิจัยครั้งนี้ได้รับการรับรองจากคณะกรรมการจริยธรรมการวิจัยในมนุษย์ กรมอนามัย รหัสโครงการวิจัย 598/2565 ใบรับรองเลขที่ RF09-04-598 เมื่อวันที่ 23 มกราคม 2566 (รับรองถึงวันที่ 22 มกราคม 2567) ผู้วิจัยชี้แจงวัตถุประสงค์ ขั้นตอน และประโยชน์ของการวิจัย กลุ่มตัวอย่างลงนามยินยอมเป็นลายลักษณ์อักษรและสามารถถอนตัวได้ตลอดเวลา การบันทึกข้อมูลไม่ระบุชื่อ-นามสกุล นำเสนอผลในภาพรวม และกลุ่มเปรียบเทียบได้รับโปรแกรมเต็มรูปแบบภายหลังสิ้นสุดการเก็บข้อมูลเพื่อความเป็นธรรมทางจริยธรรม</w:t>
      </w:r>
    </w:p>
    <w:p>
      <w:pPr>
        <w:spacing w:after="0" w:before="0" w:line="240" w:lineRule="auto"/>
      </w:pPr>
      <w:r>
        <w:rPr>
          <w:rFonts w:ascii="TH SarabunPSK" w:cs="TH SarabunPSK" w:eastAsia="TH SarabunPSK" w:hAnsi="TH SarabunPSK"/>
          <w:sz w:val="32"/>
          <w:szCs w:val="32"/>
        </w:rPr>
        <w:t xml:space="preserve"/>
      </w:r>
    </w:p>
    <w:p>
      <w:pPr>
        <w:keepNext/>
        <w:spacing w:after="0" w:before="0" w:line="240" w:lineRule="auto"/>
        <w:ind w:firstLine="0"/>
        <w:jc w:val="left"/>
      </w:pPr>
      <w:r>
        <w:rPr>
          <w:rFonts w:ascii="TH SarabunPSK" w:cs="TH SarabunPSK" w:eastAsia="TH SarabunPSK" w:hAnsi="TH SarabunPSK"/>
          <w:b/>
          <w:bCs/>
          <w:i w:val="false"/>
          <w:sz w:val="32"/>
          <w:szCs w:val="32"/>
        </w:rPr>
        <w:t xml:space="preserve">ผลการวิจัย</w:t>
      </w:r>
    </w:p>
    <w:p>
      <w:pPr>
        <w:spacing w:after="0" w:before="0" w:line="240" w:lineRule="auto"/>
        <w:ind w:firstLine="709"/>
        <w:jc w:val="thaiDistribute"/>
      </w:pPr>
      <w:r>
        <w:rPr>
          <w:rFonts w:ascii="TH SarabunPSK" w:cs="TH SarabunPSK" w:eastAsia="TH SarabunPSK" w:hAnsi="TH SarabunPSK"/>
          <w:b/>
          <w:bCs/>
          <w:i w:val="false"/>
          <w:sz w:val="32"/>
          <w:szCs w:val="32"/>
        </w:rPr>
        <w:t xml:space="preserve">1. แบบแผนความเชื่อด้านสุขภาพ</w:t>
      </w:r>
      <w:r>
        <w:rPr>
          <w:rFonts w:ascii="TH SarabunPSK" w:cs="TH SarabunPSK" w:eastAsia="TH SarabunPSK" w:hAnsi="TH SarabunPSK"/>
          <w:b w:val="false"/>
          <w:i w:val="false"/>
          <w:sz w:val="32"/>
          <w:szCs w:val="32"/>
        </w:rPr>
        <w:t xml:space="preserve"> ก่อนการทดลอง กลุ่มทดลองและกลุ่มเปรียบเทียบมีแบบแผนความเชื่อด้านสุขภาพภาพรวมอยู่ในระดับมาก (</w:t>
      </w:r>
      <w:r>
        <w:rPr>
          <w:rFonts w:ascii="TH SarabunPSK" w:cs="TH SarabunPSK" w:eastAsia="TH SarabunPSK" w:hAnsi="TH SarabunPSK"/>
          <w:b w:val="false"/>
          <w:i/>
          <w:iCs/>
          <w:sz w:val="32"/>
          <w:szCs w:val="32"/>
        </w:rPr>
        <w:t xml:space="preserve">M</w:t>
      </w:r>
      <w:r>
        <w:rPr>
          <w:rFonts w:ascii="TH SarabunPSK" w:cs="TH SarabunPSK" w:eastAsia="TH SarabunPSK" w:hAnsi="TH SarabunPSK"/>
          <w:b w:val="false"/>
          <w:i w:val="false"/>
          <w:sz w:val="32"/>
          <w:szCs w:val="32"/>
        </w:rPr>
        <w:t xml:space="preserve"> = 2.85, </w:t>
      </w:r>
      <w:r>
        <w:rPr>
          <w:rFonts w:ascii="TH SarabunPSK" w:cs="TH SarabunPSK" w:eastAsia="TH SarabunPSK" w:hAnsi="TH SarabunPSK"/>
          <w:b w:val="false"/>
          <w:i/>
          <w:iCs/>
          <w:sz w:val="32"/>
          <w:szCs w:val="32"/>
        </w:rPr>
        <w:t xml:space="preserve">SD.</w:t>
      </w:r>
      <w:r>
        <w:rPr>
          <w:rFonts w:ascii="TH SarabunPSK" w:cs="TH SarabunPSK" w:eastAsia="TH SarabunPSK" w:hAnsi="TH SarabunPSK"/>
          <w:b w:val="false"/>
          <w:i w:val="false"/>
          <w:sz w:val="32"/>
          <w:szCs w:val="32"/>
        </w:rPr>
        <w:t xml:space="preserve"> = 0.17 และ </w:t>
      </w:r>
      <w:r>
        <w:rPr>
          <w:rFonts w:ascii="TH SarabunPSK" w:cs="TH SarabunPSK" w:eastAsia="TH SarabunPSK" w:hAnsi="TH SarabunPSK"/>
          <w:b w:val="false"/>
          <w:i/>
          <w:iCs/>
          <w:sz w:val="32"/>
          <w:szCs w:val="32"/>
        </w:rPr>
        <w:t xml:space="preserve">M</w:t>
      </w:r>
      <w:r>
        <w:rPr>
          <w:rFonts w:ascii="TH SarabunPSK" w:cs="TH SarabunPSK" w:eastAsia="TH SarabunPSK" w:hAnsi="TH SarabunPSK"/>
          <w:b w:val="false"/>
          <w:i w:val="false"/>
          <w:sz w:val="32"/>
          <w:szCs w:val="32"/>
        </w:rPr>
        <w:t xml:space="preserve"> = 2.77, </w:t>
      </w:r>
      <w:r>
        <w:rPr>
          <w:rFonts w:ascii="TH SarabunPSK" w:cs="TH SarabunPSK" w:eastAsia="TH SarabunPSK" w:hAnsi="TH SarabunPSK"/>
          <w:b w:val="false"/>
          <w:i/>
          <w:iCs/>
          <w:sz w:val="32"/>
          <w:szCs w:val="32"/>
        </w:rPr>
        <w:t xml:space="preserve">SD.</w:t>
      </w:r>
      <w:r>
        <w:rPr>
          <w:rFonts w:ascii="TH SarabunPSK" w:cs="TH SarabunPSK" w:eastAsia="TH SarabunPSK" w:hAnsi="TH SarabunPSK"/>
          <w:b w:val="false"/>
          <w:i w:val="false"/>
          <w:sz w:val="32"/>
          <w:szCs w:val="32"/>
        </w:rPr>
        <w:t xml:space="preserve"> = 0.27 ตามลำดับ) หลังการทดลอง กลุ่มทดลองมีคะแนนเพิ่มขึ้นเป็น </w:t>
      </w:r>
      <w:r>
        <w:rPr>
          <w:rFonts w:ascii="TH SarabunPSK" w:cs="TH SarabunPSK" w:eastAsia="TH SarabunPSK" w:hAnsi="TH SarabunPSK"/>
          <w:b w:val="false"/>
          <w:i/>
          <w:iCs/>
          <w:sz w:val="32"/>
          <w:szCs w:val="32"/>
        </w:rPr>
        <w:t xml:space="preserve">M</w:t>
      </w:r>
      <w:r>
        <w:rPr>
          <w:rFonts w:ascii="TH SarabunPSK" w:cs="TH SarabunPSK" w:eastAsia="TH SarabunPSK" w:hAnsi="TH SarabunPSK"/>
          <w:b w:val="false"/>
          <w:i w:val="false"/>
          <w:sz w:val="32"/>
          <w:szCs w:val="32"/>
        </w:rPr>
        <w:t xml:space="preserve"> = 2.90 (</w:t>
      </w:r>
      <w:r>
        <w:rPr>
          <w:rFonts w:ascii="TH SarabunPSK" w:cs="TH SarabunPSK" w:eastAsia="TH SarabunPSK" w:hAnsi="TH SarabunPSK"/>
          <w:b w:val="false"/>
          <w:i/>
          <w:iCs/>
          <w:sz w:val="32"/>
          <w:szCs w:val="32"/>
        </w:rPr>
        <w:t xml:space="preserve">SD.</w:t>
      </w:r>
      <w:r>
        <w:rPr>
          <w:rFonts w:ascii="TH SarabunPSK" w:cs="TH SarabunPSK" w:eastAsia="TH SarabunPSK" w:hAnsi="TH SarabunPSK"/>
          <w:b w:val="false"/>
          <w:i w:val="false"/>
          <w:sz w:val="32"/>
          <w:szCs w:val="32"/>
        </w:rPr>
        <w:t xml:space="preserve"> = 0.18) โดยด้านการรับรู้โอกาสเสี่ยงสูงสุด (</w:t>
      </w:r>
      <w:r>
        <w:rPr>
          <w:rFonts w:ascii="TH SarabunPSK" w:cs="TH SarabunPSK" w:eastAsia="TH SarabunPSK" w:hAnsi="TH SarabunPSK"/>
          <w:b w:val="false"/>
          <w:i/>
          <w:iCs/>
          <w:sz w:val="32"/>
          <w:szCs w:val="32"/>
        </w:rPr>
        <w:t xml:space="preserve">M</w:t>
      </w:r>
      <w:r>
        <w:rPr>
          <w:rFonts w:ascii="TH SarabunPSK" w:cs="TH SarabunPSK" w:eastAsia="TH SarabunPSK" w:hAnsi="TH SarabunPSK"/>
          <w:b w:val="false"/>
          <w:i w:val="false"/>
          <w:sz w:val="32"/>
          <w:szCs w:val="32"/>
        </w:rPr>
        <w:t xml:space="preserve"> = 2.94) ส่วนกลุ่มเปรียบเทียบมีคะแนน </w:t>
      </w:r>
      <w:r>
        <w:rPr>
          <w:rFonts w:ascii="TH SarabunPSK" w:cs="TH SarabunPSK" w:eastAsia="TH SarabunPSK" w:hAnsi="TH SarabunPSK"/>
          <w:b w:val="false"/>
          <w:i/>
          <w:iCs/>
          <w:sz w:val="32"/>
          <w:szCs w:val="32"/>
        </w:rPr>
        <w:t xml:space="preserve">M</w:t>
      </w:r>
      <w:r>
        <w:rPr>
          <w:rFonts w:ascii="TH SarabunPSK" w:cs="TH SarabunPSK" w:eastAsia="TH SarabunPSK" w:hAnsi="TH SarabunPSK"/>
          <w:b w:val="false"/>
          <w:i w:val="false"/>
          <w:sz w:val="32"/>
          <w:szCs w:val="32"/>
        </w:rPr>
        <w:t xml:space="preserve"> = 2.76 (</w:t>
      </w:r>
      <w:r>
        <w:rPr>
          <w:rFonts w:ascii="TH SarabunPSK" w:cs="TH SarabunPSK" w:eastAsia="TH SarabunPSK" w:hAnsi="TH SarabunPSK"/>
          <w:b w:val="false"/>
          <w:i/>
          <w:iCs/>
          <w:sz w:val="32"/>
          <w:szCs w:val="32"/>
        </w:rPr>
        <w:t xml:space="preserve">SD.</w:t>
      </w:r>
      <w:r>
        <w:rPr>
          <w:rFonts w:ascii="TH SarabunPSK" w:cs="TH SarabunPSK" w:eastAsia="TH SarabunPSK" w:hAnsi="TH SarabunPSK"/>
          <w:b w:val="false"/>
          <w:i w:val="false"/>
          <w:sz w:val="32"/>
          <w:szCs w:val="32"/>
        </w:rPr>
        <w:t xml:space="preserve"> = 0.19) ดังตารางที่ 1</w:t>
      </w:r>
    </w:p>
    <w:p>
      <w:pPr>
        <w:spacing w:after="0" w:before="0" w:line="240" w:lineRule="auto"/>
      </w:pPr>
      <w:r>
        <w:rPr>
          <w:rFonts w:ascii="TH SarabunPSK" w:cs="TH SarabunPSK" w:eastAsia="TH SarabunPSK" w:hAnsi="TH SarabunPSK"/>
          <w:sz w:val="32"/>
          <w:szCs w:val="32"/>
        </w:rPr>
        <w:t xml:space="preserve"/>
      </w:r>
    </w:p>
    <w:p>
      <w:pPr>
        <w:keepNext/>
        <w:spacing w:after="0" w:before="0" w:line="240" w:lineRule="auto"/>
        <w:ind w:left="1080" w:hanging="1080"/>
        <w:jc w:val="left"/>
      </w:pPr>
      <w:r>
        <w:rPr>
          <w:rFonts w:ascii="TH SarabunPSK" w:cs="TH SarabunPSK" w:eastAsia="TH SarabunPSK" w:hAnsi="TH SarabunPSK"/>
          <w:b/>
          <w:bCs/>
          <w:i w:val="false"/>
          <w:sz w:val="32"/>
          <w:szCs w:val="32"/>
        </w:rPr>
        <w:t xml:space="preserve">ตารางที่ 1</w:t>
      </w:r>
      <w:r>
        <w:rPr>
          <w:rFonts w:ascii="TH SarabunPSK" w:cs="TH SarabunPSK" w:eastAsia="TH SarabunPSK" w:hAnsi="TH SarabunPSK"/>
          <w:b w:val="false"/>
          <w:i w:val="false"/>
          <w:sz w:val="32"/>
          <w:szCs w:val="32"/>
        </w:rPr>
        <w:t xml:space="preserve"> ค่าเฉลี่ยและส่วนเบี่ยงเบนมาตรฐานของคะแนนแบบแผนความเชื่อด้านสุขภาพ ก่อนและหลังการทดลอง จำแนกตามกลุ่ม</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6"/>
        <w:gridCol w:w="790"/>
        <w:gridCol w:w="790"/>
        <w:gridCol w:w="790"/>
        <w:gridCol w:w="790"/>
        <w:gridCol w:w="790"/>
        <w:gridCol w:w="790"/>
        <w:gridCol w:w="790"/>
        <w:gridCol w:w="790"/>
      </w:tblGrid>
      <w:tr>
        <w:trPr>
          <w:cantSplit/>
          <w:tblHeader/>
        </w:trPr>
        <w:tc>
          <w:tcPr>
            <w:tcW w:type="dxa" w:w="2706"/>
            <w:vMerge w:val="restart"/>
            <w:tcBorders>
              <w:top w:val="single" w:color="000000" w:sz="8"/>
              <w:left w:val="none" w:color="FFFFFF" w:sz="0"/>
              <w:bottom w:val="single" w:color="000000" w:sz="8"/>
              <w:right w:val="none" w:color="FFFFFF" w:sz="0"/>
            </w:tcBorders>
            <w:tcMar>
              <w:top w:type="dxa" w:w="20"/>
              <w:left w:type="dxa" w:w="80"/>
              <w:bottom w:type="dxa" w:w="20"/>
              <w:right w:type="dxa" w:w="80"/>
            </w:tcMar>
            <w:vAlign w:val="center"/>
          </w:tcPr>
          <w:p>
            <w:pPr>
              <w:keepNext/>
              <w:spacing w:after="0" w:before="0" w:line="240" w:lineRule="auto"/>
              <w:jc w:val="left"/>
            </w:pPr>
            <w:r>
              <w:rPr>
                <w:rFonts w:ascii="TH SarabunPSK" w:cs="TH SarabunPSK" w:eastAsia="TH SarabunPSK" w:hAnsi="TH SarabunPSK"/>
                <w:b/>
                <w:bCs/>
                <w:i w:val="false"/>
                <w:sz w:val="28"/>
                <w:szCs w:val="28"/>
              </w:rPr>
              <w:t xml:space="preserve">รายด้าน</w:t>
            </w:r>
          </w:p>
        </w:tc>
        <w:tc>
          <w:tcPr>
            <w:tcW w:type="dxa" w:w="3160"/>
            <w:gridSpan w:val="4"/>
            <w:tcBorders>
              <w:top w:val="single" w:color="000000" w:sz="8"/>
              <w:left w:val="none" w:color="FFFFFF" w:sz="0"/>
              <w:bottom w:val="single" w:color="000000" w:sz="8"/>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bCs/>
                <w:i w:val="false"/>
                <w:sz w:val="28"/>
                <w:szCs w:val="28"/>
              </w:rPr>
              <w:t xml:space="preserve">กลุ่มทดลอง (n = 40)</w:t>
            </w:r>
          </w:p>
        </w:tc>
        <w:tc>
          <w:tcPr>
            <w:tcW w:type="dxa" w:w="3160"/>
            <w:gridSpan w:val="4"/>
            <w:tcBorders>
              <w:top w:val="single" w:color="000000" w:sz="8"/>
              <w:left w:val="none" w:color="FFFFFF" w:sz="0"/>
              <w:bottom w:val="single" w:color="000000" w:sz="8"/>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bCs/>
                <w:i w:val="false"/>
                <w:sz w:val="28"/>
                <w:szCs w:val="28"/>
              </w:rPr>
              <w:t xml:space="preserve">กลุ่มเปรียบเทียบ (n = 40)</w:t>
            </w:r>
          </w:p>
        </w:tc>
      </w:tr>
      <w:tr>
        <w:trPr>
          <w:cantSplit/>
          <w:tblHeader/>
        </w:trPr>
        <w:tc>
          <w:tcPr>
            <w:vMerge w:val="continue"/>
            <w:tcBorders>
              <w:top w:val="single" w:color="000000" w:sz="8"/>
              <w:left w:val="none" w:color="FFFFFF" w:sz="0"/>
              <w:bottom w:val="single" w:color="000000" w:sz="8"/>
              <w:right w:val="none" w:color="FFFFFF" w:sz="0"/>
            </w:tcBorders>
          </w:tcPr>
          <w:p/>
        </w:tc>
        <w:tc>
          <w:tcPr>
            <w:tcW w:type="dxa" w:w="3496"/>
            <w:gridSpan w:val="2"/>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bCs/>
                <w:i w:val="false"/>
                <w:sz w:val="28"/>
                <w:szCs w:val="28"/>
              </w:rPr>
              <w:t xml:space="preserve">ก่อน</w:t>
            </w:r>
          </w:p>
        </w:tc>
        <w:tc>
          <w:tcPr>
            <w:tcW w:type="dxa" w:w="1580"/>
            <w:gridSpan w:val="2"/>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bCs/>
                <w:i w:val="false"/>
                <w:sz w:val="28"/>
                <w:szCs w:val="28"/>
              </w:rPr>
              <w:t xml:space="preserve">หลัง</w:t>
            </w:r>
          </w:p>
        </w:tc>
        <w:tc>
          <w:tcPr>
            <w:tcW w:type="dxa" w:w="1580"/>
            <w:gridSpan w:val="2"/>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bCs/>
                <w:i w:val="false"/>
                <w:sz w:val="28"/>
                <w:szCs w:val="28"/>
              </w:rPr>
              <w:t xml:space="preserve">ก่อน</w:t>
            </w:r>
          </w:p>
        </w:tc>
        <w:tc>
          <w:tcPr>
            <w:tcW w:type="dxa" w:w="1580"/>
            <w:gridSpan w:val="2"/>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bCs/>
                <w:i w:val="false"/>
                <w:sz w:val="28"/>
                <w:szCs w:val="28"/>
              </w:rPr>
              <w:t xml:space="preserve">หลัง</w:t>
            </w:r>
          </w:p>
        </w:tc>
      </w:tr>
      <w:tr>
        <w:trPr>
          <w:cantSplit/>
          <w:tblHeader/>
        </w:trPr>
        <w:tc>
          <w:tcPr>
            <w:vMerge w:val="continue"/>
            <w:tcBorders>
              <w:top w:val="single" w:color="000000" w:sz="8"/>
              <w:left w:val="none" w:color="FFFFFF" w:sz="0"/>
              <w:bottom w:val="single" w:color="000000" w:sz="8"/>
              <w:right w:val="none" w:color="FFFFFF" w:sz="0"/>
            </w:tcBorders>
          </w:tcPr>
          <w:p/>
        </w:tc>
        <w:tc>
          <w:tcPr>
            <w:tcW w:type="dxa" w:w="2706"/>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bCs/>
                <w:i/>
                <w:iCs/>
                <w:sz w:val="28"/>
                <w:szCs w:val="28"/>
              </w:rPr>
              <w:t xml:space="preserve">M</w:t>
            </w:r>
          </w:p>
        </w:tc>
        <w:tc>
          <w:tcPr>
            <w:tcW w:type="dxa" w:w="790"/>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bCs/>
                <w:i/>
                <w:iCs/>
                <w:sz w:val="28"/>
                <w:szCs w:val="28"/>
              </w:rPr>
              <w:t xml:space="preserve">SD.</w:t>
            </w:r>
          </w:p>
        </w:tc>
        <w:tc>
          <w:tcPr>
            <w:tcW w:type="dxa" w:w="790"/>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bCs/>
                <w:i/>
                <w:iCs/>
                <w:sz w:val="28"/>
                <w:szCs w:val="28"/>
              </w:rPr>
              <w:t xml:space="preserve">M</w:t>
            </w:r>
          </w:p>
        </w:tc>
        <w:tc>
          <w:tcPr>
            <w:tcW w:type="dxa" w:w="790"/>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bCs/>
                <w:i/>
                <w:iCs/>
                <w:sz w:val="28"/>
                <w:szCs w:val="28"/>
              </w:rPr>
              <w:t xml:space="preserve">SD.</w:t>
            </w:r>
          </w:p>
        </w:tc>
        <w:tc>
          <w:tcPr>
            <w:tcW w:type="dxa" w:w="790"/>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bCs/>
                <w:i/>
                <w:iCs/>
                <w:sz w:val="28"/>
                <w:szCs w:val="28"/>
              </w:rPr>
              <w:t xml:space="preserve">M</w:t>
            </w:r>
          </w:p>
        </w:tc>
        <w:tc>
          <w:tcPr>
            <w:tcW w:type="dxa" w:w="790"/>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bCs/>
                <w:i/>
                <w:iCs/>
                <w:sz w:val="28"/>
                <w:szCs w:val="28"/>
              </w:rPr>
              <w:t xml:space="preserve">SD.</w:t>
            </w:r>
          </w:p>
        </w:tc>
        <w:tc>
          <w:tcPr>
            <w:tcW w:type="dxa" w:w="790"/>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bCs/>
                <w:i/>
                <w:iCs/>
                <w:sz w:val="28"/>
                <w:szCs w:val="28"/>
              </w:rPr>
              <w:t xml:space="preserve">M</w:t>
            </w:r>
          </w:p>
        </w:tc>
        <w:tc>
          <w:tcPr>
            <w:tcW w:type="dxa" w:w="790"/>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bCs/>
                <w:i/>
                <w:iCs/>
                <w:sz w:val="28"/>
                <w:szCs w:val="28"/>
              </w:rPr>
              <w:t xml:space="preserve">SD.</w:t>
            </w:r>
          </w:p>
        </w:tc>
      </w:tr>
      <w:tr>
        <w:trPr>
          <w:cantSplit/>
          <w:tblHeader w:val="false"/>
        </w:trPr>
        <w:tc>
          <w:tcPr>
            <w:tcW w:type="dxa" w:w="2706"/>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left"/>
            </w:pPr>
            <w:r>
              <w:rPr>
                <w:rFonts w:ascii="TH SarabunPSK" w:cs="TH SarabunPSK" w:eastAsia="TH SarabunPSK" w:hAnsi="TH SarabunPSK"/>
                <w:b w:val="false"/>
                <w:i w:val="false"/>
                <w:sz w:val="28"/>
                <w:szCs w:val="28"/>
              </w:rPr>
              <w:t xml:space="preserve">1. การรับรู้โอกาสเสี่ยง</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2.85</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0.25</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2.94</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0.16</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2.84</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0.27</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2.84</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0.21</w:t>
            </w:r>
          </w:p>
        </w:tc>
      </w:tr>
      <w:tr>
        <w:trPr>
          <w:cantSplit/>
          <w:tblHeader w:val="false"/>
        </w:trPr>
        <w:tc>
          <w:tcPr>
            <w:tcW w:type="dxa" w:w="2706"/>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left"/>
            </w:pPr>
            <w:r>
              <w:rPr>
                <w:rFonts w:ascii="TH SarabunPSK" w:cs="TH SarabunPSK" w:eastAsia="TH SarabunPSK" w:hAnsi="TH SarabunPSK"/>
                <w:b w:val="false"/>
                <w:i w:val="false"/>
                <w:sz w:val="28"/>
                <w:szCs w:val="28"/>
              </w:rPr>
              <w:t xml:space="preserve">2. การรับรู้ความรุนแรงของโรค</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2.81</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0.26</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2.85</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0.33</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2.69</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0.32</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2.55</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0.35</w:t>
            </w:r>
          </w:p>
        </w:tc>
      </w:tr>
      <w:tr>
        <w:trPr>
          <w:cantSplit/>
          <w:tblHeader w:val="false"/>
        </w:trPr>
        <w:tc>
          <w:tcPr>
            <w:tcW w:type="dxa" w:w="2706"/>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left"/>
            </w:pPr>
            <w:r>
              <w:rPr>
                <w:rFonts w:ascii="TH SarabunPSK" w:cs="TH SarabunPSK" w:eastAsia="TH SarabunPSK" w:hAnsi="TH SarabunPSK"/>
                <w:b w:val="false"/>
                <w:i w:val="false"/>
                <w:sz w:val="28"/>
                <w:szCs w:val="28"/>
              </w:rPr>
              <w:t xml:space="preserve">3. การรับรู้ประโยชน์ของการรักษาป้องกันโรค</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2.86</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0.24</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2.92</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0.21</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2.85</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0.28</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2.92</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0.22</w:t>
            </w:r>
          </w:p>
        </w:tc>
      </w:tr>
      <w:tr>
        <w:trPr>
          <w:cantSplit/>
          <w:tblHeader w:val="false"/>
        </w:trPr>
        <w:tc>
          <w:tcPr>
            <w:tcW w:type="dxa" w:w="2706"/>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left"/>
            </w:pPr>
            <w:r>
              <w:rPr>
                <w:rFonts w:ascii="TH SarabunPSK" w:cs="TH SarabunPSK" w:eastAsia="TH SarabunPSK" w:hAnsi="TH SarabunPSK"/>
                <w:b w:val="false"/>
                <w:i w:val="false"/>
                <w:sz w:val="28"/>
                <w:szCs w:val="28"/>
              </w:rPr>
              <w:t xml:space="preserve">4. การรับรู้อุปสรรค</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2.90</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0.23</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2.91</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0.19</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2.71</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0.53</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2.73</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0.34</w:t>
            </w:r>
          </w:p>
        </w:tc>
      </w:tr>
      <w:tr>
        <w:trPr>
          <w:cantSplit/>
          <w:tblHeader w:val="false"/>
        </w:trPr>
        <w:tc>
          <w:tcPr>
            <w:tcW w:type="dxa" w:w="2706"/>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val="false"/>
              <w:spacing w:after="0" w:before="0" w:line="240" w:lineRule="auto"/>
              <w:jc w:val="left"/>
            </w:pPr>
            <w:r>
              <w:rPr>
                <w:rFonts w:ascii="TH SarabunPSK" w:cs="TH SarabunPSK" w:eastAsia="TH SarabunPSK" w:hAnsi="TH SarabunPSK"/>
                <w:b/>
                <w:bCs/>
                <w:i w:val="false"/>
                <w:sz w:val="28"/>
                <w:szCs w:val="28"/>
              </w:rPr>
              <w:t xml:space="preserve">ภาพรวม</w:t>
            </w:r>
          </w:p>
        </w:tc>
        <w:tc>
          <w:tcPr>
            <w:tcW w:type="dxa" w:w="790"/>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val="false"/>
              <w:spacing w:after="0" w:before="0" w:line="240" w:lineRule="auto"/>
              <w:jc w:val="center"/>
            </w:pPr>
            <w:r>
              <w:rPr>
                <w:rFonts w:ascii="TH SarabunPSK" w:cs="TH SarabunPSK" w:eastAsia="TH SarabunPSK" w:hAnsi="TH SarabunPSK"/>
                <w:b/>
                <w:bCs/>
                <w:i w:val="false"/>
                <w:sz w:val="28"/>
                <w:szCs w:val="28"/>
              </w:rPr>
              <w:t xml:space="preserve">2.85</w:t>
            </w:r>
          </w:p>
        </w:tc>
        <w:tc>
          <w:tcPr>
            <w:tcW w:type="dxa" w:w="790"/>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val="false"/>
              <w:spacing w:after="0" w:before="0" w:line="240" w:lineRule="auto"/>
              <w:jc w:val="center"/>
            </w:pPr>
            <w:r>
              <w:rPr>
                <w:rFonts w:ascii="TH SarabunPSK" w:cs="TH SarabunPSK" w:eastAsia="TH SarabunPSK" w:hAnsi="TH SarabunPSK"/>
                <w:b/>
                <w:bCs/>
                <w:i w:val="false"/>
                <w:sz w:val="28"/>
                <w:szCs w:val="28"/>
              </w:rPr>
              <w:t xml:space="preserve">0.17</w:t>
            </w:r>
          </w:p>
        </w:tc>
        <w:tc>
          <w:tcPr>
            <w:tcW w:type="dxa" w:w="790"/>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val="false"/>
              <w:spacing w:after="0" w:before="0" w:line="240" w:lineRule="auto"/>
              <w:jc w:val="center"/>
            </w:pPr>
            <w:r>
              <w:rPr>
                <w:rFonts w:ascii="TH SarabunPSK" w:cs="TH SarabunPSK" w:eastAsia="TH SarabunPSK" w:hAnsi="TH SarabunPSK"/>
                <w:b/>
                <w:bCs/>
                <w:i w:val="false"/>
                <w:sz w:val="28"/>
                <w:szCs w:val="28"/>
              </w:rPr>
              <w:t xml:space="preserve">2.90</w:t>
            </w:r>
          </w:p>
        </w:tc>
        <w:tc>
          <w:tcPr>
            <w:tcW w:type="dxa" w:w="790"/>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val="false"/>
              <w:spacing w:after="0" w:before="0" w:line="240" w:lineRule="auto"/>
              <w:jc w:val="center"/>
            </w:pPr>
            <w:r>
              <w:rPr>
                <w:rFonts w:ascii="TH SarabunPSK" w:cs="TH SarabunPSK" w:eastAsia="TH SarabunPSK" w:hAnsi="TH SarabunPSK"/>
                <w:b/>
                <w:bCs/>
                <w:i w:val="false"/>
                <w:sz w:val="28"/>
                <w:szCs w:val="28"/>
              </w:rPr>
              <w:t xml:space="preserve">0.18</w:t>
            </w:r>
          </w:p>
        </w:tc>
        <w:tc>
          <w:tcPr>
            <w:tcW w:type="dxa" w:w="790"/>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val="false"/>
              <w:spacing w:after="0" w:before="0" w:line="240" w:lineRule="auto"/>
              <w:jc w:val="center"/>
            </w:pPr>
            <w:r>
              <w:rPr>
                <w:rFonts w:ascii="TH SarabunPSK" w:cs="TH SarabunPSK" w:eastAsia="TH SarabunPSK" w:hAnsi="TH SarabunPSK"/>
                <w:b/>
                <w:bCs/>
                <w:i w:val="false"/>
                <w:sz w:val="28"/>
                <w:szCs w:val="28"/>
              </w:rPr>
              <w:t xml:space="preserve">2.77</w:t>
            </w:r>
          </w:p>
        </w:tc>
        <w:tc>
          <w:tcPr>
            <w:tcW w:type="dxa" w:w="790"/>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val="false"/>
              <w:spacing w:after="0" w:before="0" w:line="240" w:lineRule="auto"/>
              <w:jc w:val="center"/>
            </w:pPr>
            <w:r>
              <w:rPr>
                <w:rFonts w:ascii="TH SarabunPSK" w:cs="TH SarabunPSK" w:eastAsia="TH SarabunPSK" w:hAnsi="TH SarabunPSK"/>
                <w:b/>
                <w:bCs/>
                <w:i w:val="false"/>
                <w:sz w:val="28"/>
                <w:szCs w:val="28"/>
              </w:rPr>
              <w:t xml:space="preserve">0.27</w:t>
            </w:r>
          </w:p>
        </w:tc>
        <w:tc>
          <w:tcPr>
            <w:tcW w:type="dxa" w:w="790"/>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val="false"/>
              <w:spacing w:after="0" w:before="0" w:line="240" w:lineRule="auto"/>
              <w:jc w:val="center"/>
            </w:pPr>
            <w:r>
              <w:rPr>
                <w:rFonts w:ascii="TH SarabunPSK" w:cs="TH SarabunPSK" w:eastAsia="TH SarabunPSK" w:hAnsi="TH SarabunPSK"/>
                <w:b/>
                <w:bCs/>
                <w:i w:val="false"/>
                <w:sz w:val="28"/>
                <w:szCs w:val="28"/>
              </w:rPr>
              <w:t xml:space="preserve">2.76</w:t>
            </w:r>
          </w:p>
        </w:tc>
        <w:tc>
          <w:tcPr>
            <w:tcW w:type="dxa" w:w="790"/>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val="false"/>
              <w:spacing w:after="0" w:before="0" w:line="240" w:lineRule="auto"/>
              <w:jc w:val="center"/>
            </w:pPr>
            <w:r>
              <w:rPr>
                <w:rFonts w:ascii="TH SarabunPSK" w:cs="TH SarabunPSK" w:eastAsia="TH SarabunPSK" w:hAnsi="TH SarabunPSK"/>
                <w:b/>
                <w:bCs/>
                <w:i w:val="false"/>
                <w:sz w:val="28"/>
                <w:szCs w:val="28"/>
              </w:rPr>
              <w:t xml:space="preserve">0.19</w:t>
            </w:r>
          </w:p>
        </w:tc>
      </w:tr>
    </w:tbl>
    <w:p>
      <w:pPr>
        <w:spacing w:after="0" w:before="0" w:line="240" w:lineRule="auto"/>
        <w:ind w:firstLine="0"/>
        <w:jc w:val="left"/>
      </w:pPr>
      <w:r>
        <w:rPr>
          <w:rFonts w:ascii="TH SarabunPSK" w:cs="TH SarabunPSK" w:eastAsia="TH SarabunPSK" w:hAnsi="TH SarabunPSK"/>
          <w:b w:val="false"/>
          <w:i w:val="false"/>
          <w:sz w:val="28"/>
          <w:szCs w:val="28"/>
        </w:rPr>
        <w:t xml:space="preserve">หมายเหตุ: ทุกด้านอยู่ในระดับมาก (2.01–3.00)</w:t>
      </w:r>
    </w:p>
    <w:p>
      <w:pPr>
        <w:spacing w:after="0" w:before="0" w:line="240" w:lineRule="auto"/>
      </w:pPr>
      <w:r>
        <w:rPr>
          <w:rFonts w:ascii="TH SarabunPSK" w:cs="TH SarabunPSK" w:eastAsia="TH SarabunPSK" w:hAnsi="TH SarabunPSK"/>
          <w:sz w:val="32"/>
          <w:szCs w:val="32"/>
        </w:rPr>
        <w:t xml:space="preserve"/>
      </w:r>
    </w:p>
    <w:p>
      <w:pPr>
        <w:spacing w:after="0" w:before="0" w:line="240" w:lineRule="auto"/>
        <w:ind w:firstLine="709"/>
        <w:jc w:val="thaiDistribute"/>
      </w:pPr>
      <w:r>
        <w:rPr>
          <w:rFonts w:ascii="TH SarabunPSK" w:cs="TH SarabunPSK" w:eastAsia="TH SarabunPSK" w:hAnsi="TH SarabunPSK"/>
          <w:b/>
          <w:bCs/>
          <w:i w:val="false"/>
          <w:sz w:val="32"/>
          <w:szCs w:val="32"/>
        </w:rPr>
        <w:t xml:space="preserve">2. ความรอบรู้ด้านสุขภาพ</w:t>
      </w:r>
      <w:r>
        <w:rPr>
          <w:rFonts w:ascii="TH SarabunPSK" w:cs="TH SarabunPSK" w:eastAsia="TH SarabunPSK" w:hAnsi="TH SarabunPSK"/>
          <w:b w:val="false"/>
          <w:i w:val="false"/>
          <w:sz w:val="32"/>
          <w:szCs w:val="32"/>
        </w:rPr>
        <w:t xml:space="preserve"> ก่อนการทดลอง กลุ่มทดลองและกลุ่มเปรียบเทียบมีความรอบรู้ด้านสุขภาพภาพรวมอยู่ในระดับมาก (</w:t>
      </w:r>
      <w:r>
        <w:rPr>
          <w:rFonts w:ascii="TH SarabunPSK" w:cs="TH SarabunPSK" w:eastAsia="TH SarabunPSK" w:hAnsi="TH SarabunPSK"/>
          <w:b w:val="false"/>
          <w:i/>
          <w:iCs/>
          <w:sz w:val="32"/>
          <w:szCs w:val="32"/>
        </w:rPr>
        <w:t xml:space="preserve">M</w:t>
      </w:r>
      <w:r>
        <w:rPr>
          <w:rFonts w:ascii="TH SarabunPSK" w:cs="TH SarabunPSK" w:eastAsia="TH SarabunPSK" w:hAnsi="TH SarabunPSK"/>
          <w:b w:val="false"/>
          <w:i w:val="false"/>
          <w:sz w:val="32"/>
          <w:szCs w:val="32"/>
        </w:rPr>
        <w:t xml:space="preserve"> = 0.93, </w:t>
      </w:r>
      <w:r>
        <w:rPr>
          <w:rFonts w:ascii="TH SarabunPSK" w:cs="TH SarabunPSK" w:eastAsia="TH SarabunPSK" w:hAnsi="TH SarabunPSK"/>
          <w:b w:val="false"/>
          <w:i/>
          <w:iCs/>
          <w:sz w:val="32"/>
          <w:szCs w:val="32"/>
        </w:rPr>
        <w:t xml:space="preserve">SD.</w:t>
      </w:r>
      <w:r>
        <w:rPr>
          <w:rFonts w:ascii="TH SarabunPSK" w:cs="TH SarabunPSK" w:eastAsia="TH SarabunPSK" w:hAnsi="TH SarabunPSK"/>
          <w:b w:val="false"/>
          <w:i w:val="false"/>
          <w:sz w:val="32"/>
          <w:szCs w:val="32"/>
        </w:rPr>
        <w:t xml:space="preserve"> = 0.07 และ </w:t>
      </w:r>
      <w:r>
        <w:rPr>
          <w:rFonts w:ascii="TH SarabunPSK" w:cs="TH SarabunPSK" w:eastAsia="TH SarabunPSK" w:hAnsi="TH SarabunPSK"/>
          <w:b w:val="false"/>
          <w:i/>
          <w:iCs/>
          <w:sz w:val="32"/>
          <w:szCs w:val="32"/>
        </w:rPr>
        <w:t xml:space="preserve">M</w:t>
      </w:r>
      <w:r>
        <w:rPr>
          <w:rFonts w:ascii="TH SarabunPSK" w:cs="TH SarabunPSK" w:eastAsia="TH SarabunPSK" w:hAnsi="TH SarabunPSK"/>
          <w:b w:val="false"/>
          <w:i w:val="false"/>
          <w:sz w:val="32"/>
          <w:szCs w:val="32"/>
        </w:rPr>
        <w:t xml:space="preserve"> = 0.92, </w:t>
      </w:r>
      <w:r>
        <w:rPr>
          <w:rFonts w:ascii="TH SarabunPSK" w:cs="TH SarabunPSK" w:eastAsia="TH SarabunPSK" w:hAnsi="TH SarabunPSK"/>
          <w:b w:val="false"/>
          <w:i/>
          <w:iCs/>
          <w:sz w:val="32"/>
          <w:szCs w:val="32"/>
        </w:rPr>
        <w:t xml:space="preserve">SD.</w:t>
      </w:r>
      <w:r>
        <w:rPr>
          <w:rFonts w:ascii="TH SarabunPSK" w:cs="TH SarabunPSK" w:eastAsia="TH SarabunPSK" w:hAnsi="TH SarabunPSK"/>
          <w:b w:val="false"/>
          <w:i w:val="false"/>
          <w:sz w:val="32"/>
          <w:szCs w:val="32"/>
        </w:rPr>
        <w:t xml:space="preserve"> = 0.08 ตามลำดับ) โดยทั้งสองกลุ่มมีด้านการตัดสินใจและเลือกปฏิบัติที่ถูกต้องสูงสุด (</w:t>
      </w:r>
      <w:r>
        <w:rPr>
          <w:rFonts w:ascii="TH SarabunPSK" w:cs="TH SarabunPSK" w:eastAsia="TH SarabunPSK" w:hAnsi="TH SarabunPSK"/>
          <w:b w:val="false"/>
          <w:i/>
          <w:iCs/>
          <w:sz w:val="32"/>
          <w:szCs w:val="32"/>
        </w:rPr>
        <w:t xml:space="preserve">M</w:t>
      </w:r>
      <w:r>
        <w:rPr>
          <w:rFonts w:ascii="TH SarabunPSK" w:cs="TH SarabunPSK" w:eastAsia="TH SarabunPSK" w:hAnsi="TH SarabunPSK"/>
          <w:b w:val="false"/>
          <w:i w:val="false"/>
          <w:sz w:val="32"/>
          <w:szCs w:val="32"/>
        </w:rPr>
        <w:t xml:space="preserve"> = 0.99 และ 0.96) หลังการทดลอง กลุ่มทดลองมีคะแนนภาพรวมเพิ่มขึ้นเป็น </w:t>
      </w:r>
      <w:r>
        <w:rPr>
          <w:rFonts w:ascii="TH SarabunPSK" w:cs="TH SarabunPSK" w:eastAsia="TH SarabunPSK" w:hAnsi="TH SarabunPSK"/>
          <w:b w:val="false"/>
          <w:i/>
          <w:iCs/>
          <w:sz w:val="32"/>
          <w:szCs w:val="32"/>
        </w:rPr>
        <w:t xml:space="preserve">M</w:t>
      </w:r>
      <w:r>
        <w:rPr>
          <w:rFonts w:ascii="TH SarabunPSK" w:cs="TH SarabunPSK" w:eastAsia="TH SarabunPSK" w:hAnsi="TH SarabunPSK"/>
          <w:b w:val="false"/>
          <w:i w:val="false"/>
          <w:sz w:val="32"/>
          <w:szCs w:val="32"/>
        </w:rPr>
        <w:t xml:space="preserve"> = 0.95 (</w:t>
      </w:r>
      <w:r>
        <w:rPr>
          <w:rFonts w:ascii="TH SarabunPSK" w:cs="TH SarabunPSK" w:eastAsia="TH SarabunPSK" w:hAnsi="TH SarabunPSK"/>
          <w:b w:val="false"/>
          <w:i/>
          <w:iCs/>
          <w:sz w:val="32"/>
          <w:szCs w:val="32"/>
        </w:rPr>
        <w:t xml:space="preserve">SD.</w:t>
      </w:r>
      <w:r>
        <w:rPr>
          <w:rFonts w:ascii="TH SarabunPSK" w:cs="TH SarabunPSK" w:eastAsia="TH SarabunPSK" w:hAnsi="TH SarabunPSK"/>
          <w:b w:val="false"/>
          <w:i w:val="false"/>
          <w:sz w:val="32"/>
          <w:szCs w:val="32"/>
        </w:rPr>
        <w:t xml:space="preserve"> = 0.05) โดยด้านการบอกต่อในครอบครัว ชุมชน มีค่าเฉลี่ยสูงสุด (</w:t>
      </w:r>
      <w:r>
        <w:rPr>
          <w:rFonts w:ascii="TH SarabunPSK" w:cs="TH SarabunPSK" w:eastAsia="TH SarabunPSK" w:hAnsi="TH SarabunPSK"/>
          <w:b w:val="false"/>
          <w:i/>
          <w:iCs/>
          <w:sz w:val="32"/>
          <w:szCs w:val="32"/>
        </w:rPr>
        <w:t xml:space="preserve">M</w:t>
      </w:r>
      <w:r>
        <w:rPr>
          <w:rFonts w:ascii="TH SarabunPSK" w:cs="TH SarabunPSK" w:eastAsia="TH SarabunPSK" w:hAnsi="TH SarabunPSK"/>
          <w:b w:val="false"/>
          <w:i w:val="false"/>
          <w:sz w:val="32"/>
          <w:szCs w:val="32"/>
        </w:rPr>
        <w:t xml:space="preserve"> = 0.99, </w:t>
      </w:r>
      <w:r>
        <w:rPr>
          <w:rFonts w:ascii="TH SarabunPSK" w:cs="TH SarabunPSK" w:eastAsia="TH SarabunPSK" w:hAnsi="TH SarabunPSK"/>
          <w:b w:val="false"/>
          <w:i/>
          <w:iCs/>
          <w:sz w:val="32"/>
          <w:szCs w:val="32"/>
        </w:rPr>
        <w:t xml:space="preserve">SD.</w:t>
      </w:r>
      <w:r>
        <w:rPr>
          <w:rFonts w:ascii="TH SarabunPSK" w:cs="TH SarabunPSK" w:eastAsia="TH SarabunPSK" w:hAnsi="TH SarabunPSK"/>
          <w:b w:val="false"/>
          <w:i w:val="false"/>
          <w:sz w:val="32"/>
          <w:szCs w:val="32"/>
        </w:rPr>
        <w:t xml:space="preserve"> = 0.04) ส่วนกลุ่มเปรียบเทียบมีคะแนนภาพรวมเท่าเดิม (</w:t>
      </w:r>
      <w:r>
        <w:rPr>
          <w:rFonts w:ascii="TH SarabunPSK" w:cs="TH SarabunPSK" w:eastAsia="TH SarabunPSK" w:hAnsi="TH SarabunPSK"/>
          <w:b w:val="false"/>
          <w:i/>
          <w:iCs/>
          <w:sz w:val="32"/>
          <w:szCs w:val="32"/>
        </w:rPr>
        <w:t xml:space="preserve">M</w:t>
      </w:r>
      <w:r>
        <w:rPr>
          <w:rFonts w:ascii="TH SarabunPSK" w:cs="TH SarabunPSK" w:eastAsia="TH SarabunPSK" w:hAnsi="TH SarabunPSK"/>
          <w:b w:val="false"/>
          <w:i w:val="false"/>
          <w:sz w:val="32"/>
          <w:szCs w:val="32"/>
        </w:rPr>
        <w:t xml:space="preserve"> = 0.92, </w:t>
      </w:r>
      <w:r>
        <w:rPr>
          <w:rFonts w:ascii="TH SarabunPSK" w:cs="TH SarabunPSK" w:eastAsia="TH SarabunPSK" w:hAnsi="TH SarabunPSK"/>
          <w:b w:val="false"/>
          <w:i/>
          <w:iCs/>
          <w:sz w:val="32"/>
          <w:szCs w:val="32"/>
        </w:rPr>
        <w:t xml:space="preserve">SD.</w:t>
      </w:r>
      <w:r>
        <w:rPr>
          <w:rFonts w:ascii="TH SarabunPSK" w:cs="TH SarabunPSK" w:eastAsia="TH SarabunPSK" w:hAnsi="TH SarabunPSK"/>
          <w:b w:val="false"/>
          <w:i w:val="false"/>
          <w:sz w:val="32"/>
          <w:szCs w:val="32"/>
        </w:rPr>
        <w:t xml:space="preserve"> = 0.06) ดังตารางที่ 2</w:t>
      </w:r>
    </w:p>
    <w:p>
      <w:pPr>
        <w:spacing w:after="0" w:before="0" w:line="240" w:lineRule="auto"/>
      </w:pPr>
      <w:r>
        <w:rPr>
          <w:rFonts w:ascii="TH SarabunPSK" w:cs="TH SarabunPSK" w:eastAsia="TH SarabunPSK" w:hAnsi="TH SarabunPSK"/>
          <w:sz w:val="32"/>
          <w:szCs w:val="32"/>
        </w:rPr>
        <w:t xml:space="preserve"/>
      </w:r>
    </w:p>
    <w:p>
      <w:pPr>
        <w:keepNext/>
        <w:spacing w:after="0" w:before="0" w:line="240" w:lineRule="auto"/>
        <w:ind w:left="1080" w:hanging="1080"/>
        <w:jc w:val="left"/>
      </w:pPr>
      <w:r>
        <w:rPr>
          <w:rFonts w:ascii="TH SarabunPSK" w:cs="TH SarabunPSK" w:eastAsia="TH SarabunPSK" w:hAnsi="TH SarabunPSK"/>
          <w:b/>
          <w:bCs/>
          <w:i w:val="false"/>
          <w:sz w:val="32"/>
          <w:szCs w:val="32"/>
        </w:rPr>
        <w:t xml:space="preserve">ตารางที่ 2</w:t>
      </w:r>
      <w:r>
        <w:rPr>
          <w:rFonts w:ascii="TH SarabunPSK" w:cs="TH SarabunPSK" w:eastAsia="TH SarabunPSK" w:hAnsi="TH SarabunPSK"/>
          <w:b w:val="false"/>
          <w:i w:val="false"/>
          <w:sz w:val="32"/>
          <w:szCs w:val="32"/>
        </w:rPr>
        <w:t xml:space="preserve"> ค่าเฉลี่ยและส่วนเบี่ยงเบนมาตรฐานของคะแนนความรอบรู้ด้านสุขภาพตามชุดความรู้การยกระดับครอบครัว ชุมชนรอบรู้สุขภาพภายใต้วิถีชีวิตปกติใหม่ ก่อนและหลังการทดลอง จำแนกตามกลุ่ม</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6"/>
        <w:gridCol w:w="790"/>
        <w:gridCol w:w="790"/>
        <w:gridCol w:w="790"/>
        <w:gridCol w:w="790"/>
        <w:gridCol w:w="790"/>
        <w:gridCol w:w="790"/>
        <w:gridCol w:w="790"/>
        <w:gridCol w:w="790"/>
      </w:tblGrid>
      <w:tr>
        <w:trPr>
          <w:cantSplit/>
          <w:tblHeader/>
        </w:trPr>
        <w:tc>
          <w:tcPr>
            <w:tcW w:type="dxa" w:w="2706"/>
            <w:vMerge w:val="restart"/>
            <w:tcBorders>
              <w:top w:val="single" w:color="000000" w:sz="8"/>
              <w:left w:val="none" w:color="FFFFFF" w:sz="0"/>
              <w:bottom w:val="single" w:color="000000" w:sz="8"/>
              <w:right w:val="none" w:color="FFFFFF" w:sz="0"/>
            </w:tcBorders>
            <w:tcMar>
              <w:top w:type="dxa" w:w="20"/>
              <w:left w:type="dxa" w:w="80"/>
              <w:bottom w:type="dxa" w:w="20"/>
              <w:right w:type="dxa" w:w="80"/>
            </w:tcMar>
            <w:vAlign w:val="center"/>
          </w:tcPr>
          <w:p>
            <w:pPr>
              <w:keepNext/>
              <w:spacing w:after="0" w:before="0" w:line="240" w:lineRule="auto"/>
              <w:jc w:val="left"/>
            </w:pPr>
            <w:r>
              <w:rPr>
                <w:rFonts w:ascii="TH SarabunPSK" w:cs="TH SarabunPSK" w:eastAsia="TH SarabunPSK" w:hAnsi="TH SarabunPSK"/>
                <w:b/>
                <w:bCs/>
                <w:i w:val="false"/>
                <w:sz w:val="28"/>
                <w:szCs w:val="28"/>
              </w:rPr>
              <w:t xml:space="preserve">รายด้าน</w:t>
            </w:r>
          </w:p>
        </w:tc>
        <w:tc>
          <w:tcPr>
            <w:tcW w:type="dxa" w:w="3160"/>
            <w:gridSpan w:val="4"/>
            <w:tcBorders>
              <w:top w:val="single" w:color="000000" w:sz="8"/>
              <w:left w:val="none" w:color="FFFFFF" w:sz="0"/>
              <w:bottom w:val="single" w:color="000000" w:sz="8"/>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bCs/>
                <w:i w:val="false"/>
                <w:sz w:val="28"/>
                <w:szCs w:val="28"/>
              </w:rPr>
              <w:t xml:space="preserve">กลุ่มทดลอง (n = 40)</w:t>
            </w:r>
          </w:p>
        </w:tc>
        <w:tc>
          <w:tcPr>
            <w:tcW w:type="dxa" w:w="3160"/>
            <w:gridSpan w:val="4"/>
            <w:tcBorders>
              <w:top w:val="single" w:color="000000" w:sz="8"/>
              <w:left w:val="none" w:color="FFFFFF" w:sz="0"/>
              <w:bottom w:val="single" w:color="000000" w:sz="8"/>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bCs/>
                <w:i w:val="false"/>
                <w:sz w:val="28"/>
                <w:szCs w:val="28"/>
              </w:rPr>
              <w:t xml:space="preserve">กลุ่มเปรียบเทียบ (n = 40)</w:t>
            </w:r>
          </w:p>
        </w:tc>
      </w:tr>
      <w:tr>
        <w:trPr>
          <w:cantSplit/>
          <w:tblHeader/>
        </w:trPr>
        <w:tc>
          <w:tcPr>
            <w:vMerge w:val="continue"/>
            <w:tcBorders>
              <w:top w:val="single" w:color="000000" w:sz="8"/>
              <w:left w:val="none" w:color="FFFFFF" w:sz="0"/>
              <w:bottom w:val="single" w:color="000000" w:sz="8"/>
              <w:right w:val="none" w:color="FFFFFF" w:sz="0"/>
            </w:tcBorders>
          </w:tcPr>
          <w:p/>
        </w:tc>
        <w:tc>
          <w:tcPr>
            <w:tcW w:type="dxa" w:w="3496"/>
            <w:gridSpan w:val="2"/>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bCs/>
                <w:i w:val="false"/>
                <w:sz w:val="28"/>
                <w:szCs w:val="28"/>
              </w:rPr>
              <w:t xml:space="preserve">ก่อน</w:t>
            </w:r>
          </w:p>
        </w:tc>
        <w:tc>
          <w:tcPr>
            <w:tcW w:type="dxa" w:w="1580"/>
            <w:gridSpan w:val="2"/>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bCs/>
                <w:i w:val="false"/>
                <w:sz w:val="28"/>
                <w:szCs w:val="28"/>
              </w:rPr>
              <w:t xml:space="preserve">หลัง</w:t>
            </w:r>
          </w:p>
        </w:tc>
        <w:tc>
          <w:tcPr>
            <w:tcW w:type="dxa" w:w="1580"/>
            <w:gridSpan w:val="2"/>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bCs/>
                <w:i w:val="false"/>
                <w:sz w:val="28"/>
                <w:szCs w:val="28"/>
              </w:rPr>
              <w:t xml:space="preserve">ก่อน</w:t>
            </w:r>
          </w:p>
        </w:tc>
        <w:tc>
          <w:tcPr>
            <w:tcW w:type="dxa" w:w="1580"/>
            <w:gridSpan w:val="2"/>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bCs/>
                <w:i w:val="false"/>
                <w:sz w:val="28"/>
                <w:szCs w:val="28"/>
              </w:rPr>
              <w:t xml:space="preserve">หลัง</w:t>
            </w:r>
          </w:p>
        </w:tc>
      </w:tr>
      <w:tr>
        <w:trPr>
          <w:cantSplit/>
          <w:tblHeader/>
        </w:trPr>
        <w:tc>
          <w:tcPr>
            <w:vMerge w:val="continue"/>
            <w:tcBorders>
              <w:top w:val="single" w:color="000000" w:sz="8"/>
              <w:left w:val="none" w:color="FFFFFF" w:sz="0"/>
              <w:bottom w:val="single" w:color="000000" w:sz="8"/>
              <w:right w:val="none" w:color="FFFFFF" w:sz="0"/>
            </w:tcBorders>
          </w:tcPr>
          <w:p/>
        </w:tc>
        <w:tc>
          <w:tcPr>
            <w:tcW w:type="dxa" w:w="2706"/>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bCs/>
                <w:i/>
                <w:iCs/>
                <w:sz w:val="28"/>
                <w:szCs w:val="28"/>
              </w:rPr>
              <w:t xml:space="preserve">M</w:t>
            </w:r>
          </w:p>
        </w:tc>
        <w:tc>
          <w:tcPr>
            <w:tcW w:type="dxa" w:w="790"/>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bCs/>
                <w:i/>
                <w:iCs/>
                <w:sz w:val="28"/>
                <w:szCs w:val="28"/>
              </w:rPr>
              <w:t xml:space="preserve">SD.</w:t>
            </w:r>
          </w:p>
        </w:tc>
        <w:tc>
          <w:tcPr>
            <w:tcW w:type="dxa" w:w="790"/>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bCs/>
                <w:i/>
                <w:iCs/>
                <w:sz w:val="28"/>
                <w:szCs w:val="28"/>
              </w:rPr>
              <w:t xml:space="preserve">M</w:t>
            </w:r>
          </w:p>
        </w:tc>
        <w:tc>
          <w:tcPr>
            <w:tcW w:type="dxa" w:w="790"/>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bCs/>
                <w:i/>
                <w:iCs/>
                <w:sz w:val="28"/>
                <w:szCs w:val="28"/>
              </w:rPr>
              <w:t xml:space="preserve">SD.</w:t>
            </w:r>
          </w:p>
        </w:tc>
        <w:tc>
          <w:tcPr>
            <w:tcW w:type="dxa" w:w="790"/>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bCs/>
                <w:i/>
                <w:iCs/>
                <w:sz w:val="28"/>
                <w:szCs w:val="28"/>
              </w:rPr>
              <w:t xml:space="preserve">M</w:t>
            </w:r>
          </w:p>
        </w:tc>
        <w:tc>
          <w:tcPr>
            <w:tcW w:type="dxa" w:w="790"/>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bCs/>
                <w:i/>
                <w:iCs/>
                <w:sz w:val="28"/>
                <w:szCs w:val="28"/>
              </w:rPr>
              <w:t xml:space="preserve">SD.</w:t>
            </w:r>
          </w:p>
        </w:tc>
        <w:tc>
          <w:tcPr>
            <w:tcW w:type="dxa" w:w="790"/>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bCs/>
                <w:i/>
                <w:iCs/>
                <w:sz w:val="28"/>
                <w:szCs w:val="28"/>
              </w:rPr>
              <w:t xml:space="preserve">M</w:t>
            </w:r>
          </w:p>
        </w:tc>
        <w:tc>
          <w:tcPr>
            <w:tcW w:type="dxa" w:w="790"/>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bCs/>
                <w:i/>
                <w:iCs/>
                <w:sz w:val="28"/>
                <w:szCs w:val="28"/>
              </w:rPr>
              <w:t xml:space="preserve">SD.</w:t>
            </w:r>
          </w:p>
        </w:tc>
      </w:tr>
      <w:tr>
        <w:trPr>
          <w:cantSplit/>
          <w:tblHeader w:val="false"/>
        </w:trPr>
        <w:tc>
          <w:tcPr>
            <w:tcW w:type="dxa" w:w="2706"/>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left"/>
            </w:pPr>
            <w:r>
              <w:rPr>
                <w:rFonts w:ascii="TH SarabunPSK" w:cs="TH SarabunPSK" w:eastAsia="TH SarabunPSK" w:hAnsi="TH SarabunPSK"/>
                <w:b w:val="false"/>
                <w:i w:val="false"/>
                <w:sz w:val="28"/>
                <w:szCs w:val="28"/>
              </w:rPr>
              <w:t xml:space="preserve">1. ความรู้ความเข้าใจ</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0.91</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0.10</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0.92</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0.10</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0.88</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0.15</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0.88</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0.11</w:t>
            </w:r>
          </w:p>
        </w:tc>
      </w:tr>
      <w:tr>
        <w:trPr>
          <w:cantSplit/>
          <w:tblHeader w:val="false"/>
        </w:trPr>
        <w:tc>
          <w:tcPr>
            <w:tcW w:type="dxa" w:w="2706"/>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left"/>
            </w:pPr>
            <w:r>
              <w:rPr>
                <w:rFonts w:ascii="TH SarabunPSK" w:cs="TH SarabunPSK" w:eastAsia="TH SarabunPSK" w:hAnsi="TH SarabunPSK"/>
                <w:b w:val="false"/>
                <w:i w:val="false"/>
                <w:sz w:val="28"/>
                <w:szCs w:val="28"/>
              </w:rPr>
              <w:t xml:space="preserve">2. การเข้าถึงข้อมูลสุขภาพ</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0.93</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0.10</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0.94</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0.09</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0.92</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0.10</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0.90</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0.09</w:t>
            </w:r>
          </w:p>
        </w:tc>
      </w:tr>
      <w:tr>
        <w:trPr>
          <w:cantSplit/>
          <w:tblHeader w:val="false"/>
        </w:trPr>
        <w:tc>
          <w:tcPr>
            <w:tcW w:type="dxa" w:w="2706"/>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left"/>
            </w:pPr>
            <w:r>
              <w:rPr>
                <w:rFonts w:ascii="TH SarabunPSK" w:cs="TH SarabunPSK" w:eastAsia="TH SarabunPSK" w:hAnsi="TH SarabunPSK"/>
                <w:b w:val="false"/>
                <w:i w:val="false"/>
                <w:sz w:val="28"/>
                <w:szCs w:val="28"/>
              </w:rPr>
              <w:t xml:space="preserve">3. การสื่อสารสุขภาพ</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0.89</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0.13</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0.91</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0.11</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0.89</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0.14</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0.90</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0.10</w:t>
            </w:r>
          </w:p>
        </w:tc>
      </w:tr>
      <w:tr>
        <w:trPr>
          <w:cantSplit/>
          <w:tblHeader w:val="false"/>
        </w:trPr>
        <w:tc>
          <w:tcPr>
            <w:tcW w:type="dxa" w:w="2706"/>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left"/>
            </w:pPr>
            <w:r>
              <w:rPr>
                <w:rFonts w:ascii="TH SarabunPSK" w:cs="TH SarabunPSK" w:eastAsia="TH SarabunPSK" w:hAnsi="TH SarabunPSK"/>
                <w:b w:val="false"/>
                <w:i w:val="false"/>
                <w:sz w:val="28"/>
                <w:szCs w:val="28"/>
              </w:rPr>
              <w:t xml:space="preserve">4. การจัดการตนเอง</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0.89</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0.11</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0.94</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0.08</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0.91</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0.13</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0.87</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0.08</w:t>
            </w:r>
          </w:p>
        </w:tc>
      </w:tr>
      <w:tr>
        <w:trPr>
          <w:cantSplit/>
          <w:tblHeader w:val="false"/>
        </w:trPr>
        <w:tc>
          <w:tcPr>
            <w:tcW w:type="dxa" w:w="2706"/>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left"/>
            </w:pPr>
            <w:r>
              <w:rPr>
                <w:rFonts w:ascii="TH SarabunPSK" w:cs="TH SarabunPSK" w:eastAsia="TH SarabunPSK" w:hAnsi="TH SarabunPSK"/>
                <w:b w:val="false"/>
                <w:i w:val="false"/>
                <w:sz w:val="28"/>
                <w:szCs w:val="28"/>
              </w:rPr>
              <w:t xml:space="preserve">5. การตัดสินใจและเลือกปฏิบัติที่ถูกต้อง</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0.99</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0.07</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0.98</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0.06</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0.96</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0.09</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0.99</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0.05</w:t>
            </w:r>
          </w:p>
        </w:tc>
      </w:tr>
      <w:tr>
        <w:trPr>
          <w:cantSplit/>
          <w:tblHeader w:val="false"/>
        </w:trPr>
        <w:tc>
          <w:tcPr>
            <w:tcW w:type="dxa" w:w="2706"/>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left"/>
            </w:pPr>
            <w:r>
              <w:rPr>
                <w:rFonts w:ascii="TH SarabunPSK" w:cs="TH SarabunPSK" w:eastAsia="TH SarabunPSK" w:hAnsi="TH SarabunPSK"/>
                <w:b w:val="false"/>
                <w:i w:val="false"/>
                <w:sz w:val="28"/>
                <w:szCs w:val="28"/>
              </w:rPr>
              <w:t xml:space="preserve">6. การบอกต่อในครอบครัว ชุมชน</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0.96</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0.11</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0.99</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0.04</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0.94</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0.10</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0.97</w:t>
            </w:r>
          </w:p>
        </w:tc>
        <w:tc>
          <w:tcPr>
            <w:tcW w:type="dxa" w:w="79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0.11</w:t>
            </w:r>
          </w:p>
        </w:tc>
      </w:tr>
      <w:tr>
        <w:trPr>
          <w:cantSplit/>
          <w:tblHeader w:val="false"/>
        </w:trPr>
        <w:tc>
          <w:tcPr>
            <w:tcW w:type="dxa" w:w="2706"/>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val="false"/>
              <w:spacing w:after="0" w:before="0" w:line="240" w:lineRule="auto"/>
              <w:jc w:val="left"/>
            </w:pPr>
            <w:r>
              <w:rPr>
                <w:rFonts w:ascii="TH SarabunPSK" w:cs="TH SarabunPSK" w:eastAsia="TH SarabunPSK" w:hAnsi="TH SarabunPSK"/>
                <w:b/>
                <w:bCs/>
                <w:i w:val="false"/>
                <w:sz w:val="28"/>
                <w:szCs w:val="28"/>
              </w:rPr>
              <w:t xml:space="preserve">ภาพรวม</w:t>
            </w:r>
          </w:p>
        </w:tc>
        <w:tc>
          <w:tcPr>
            <w:tcW w:type="dxa" w:w="790"/>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val="false"/>
              <w:spacing w:after="0" w:before="0" w:line="240" w:lineRule="auto"/>
              <w:jc w:val="center"/>
            </w:pPr>
            <w:r>
              <w:rPr>
                <w:rFonts w:ascii="TH SarabunPSK" w:cs="TH SarabunPSK" w:eastAsia="TH SarabunPSK" w:hAnsi="TH SarabunPSK"/>
                <w:b/>
                <w:bCs/>
                <w:i w:val="false"/>
                <w:sz w:val="28"/>
                <w:szCs w:val="28"/>
              </w:rPr>
              <w:t xml:space="preserve">0.93</w:t>
            </w:r>
          </w:p>
        </w:tc>
        <w:tc>
          <w:tcPr>
            <w:tcW w:type="dxa" w:w="790"/>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val="false"/>
              <w:spacing w:after="0" w:before="0" w:line="240" w:lineRule="auto"/>
              <w:jc w:val="center"/>
            </w:pPr>
            <w:r>
              <w:rPr>
                <w:rFonts w:ascii="TH SarabunPSK" w:cs="TH SarabunPSK" w:eastAsia="TH SarabunPSK" w:hAnsi="TH SarabunPSK"/>
                <w:b/>
                <w:bCs/>
                <w:i w:val="false"/>
                <w:sz w:val="28"/>
                <w:szCs w:val="28"/>
              </w:rPr>
              <w:t xml:space="preserve">0.07</w:t>
            </w:r>
          </w:p>
        </w:tc>
        <w:tc>
          <w:tcPr>
            <w:tcW w:type="dxa" w:w="790"/>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val="false"/>
              <w:spacing w:after="0" w:before="0" w:line="240" w:lineRule="auto"/>
              <w:jc w:val="center"/>
            </w:pPr>
            <w:r>
              <w:rPr>
                <w:rFonts w:ascii="TH SarabunPSK" w:cs="TH SarabunPSK" w:eastAsia="TH SarabunPSK" w:hAnsi="TH SarabunPSK"/>
                <w:b/>
                <w:bCs/>
                <w:i w:val="false"/>
                <w:sz w:val="28"/>
                <w:szCs w:val="28"/>
              </w:rPr>
              <w:t xml:space="preserve">0.95</w:t>
            </w:r>
          </w:p>
        </w:tc>
        <w:tc>
          <w:tcPr>
            <w:tcW w:type="dxa" w:w="790"/>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val="false"/>
              <w:spacing w:after="0" w:before="0" w:line="240" w:lineRule="auto"/>
              <w:jc w:val="center"/>
            </w:pPr>
            <w:r>
              <w:rPr>
                <w:rFonts w:ascii="TH SarabunPSK" w:cs="TH SarabunPSK" w:eastAsia="TH SarabunPSK" w:hAnsi="TH SarabunPSK"/>
                <w:b/>
                <w:bCs/>
                <w:i w:val="false"/>
                <w:sz w:val="28"/>
                <w:szCs w:val="28"/>
              </w:rPr>
              <w:t xml:space="preserve">0.05</w:t>
            </w:r>
          </w:p>
        </w:tc>
        <w:tc>
          <w:tcPr>
            <w:tcW w:type="dxa" w:w="790"/>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val="false"/>
              <w:spacing w:after="0" w:before="0" w:line="240" w:lineRule="auto"/>
              <w:jc w:val="center"/>
            </w:pPr>
            <w:r>
              <w:rPr>
                <w:rFonts w:ascii="TH SarabunPSK" w:cs="TH SarabunPSK" w:eastAsia="TH SarabunPSK" w:hAnsi="TH SarabunPSK"/>
                <w:b/>
                <w:bCs/>
                <w:i w:val="false"/>
                <w:sz w:val="28"/>
                <w:szCs w:val="28"/>
              </w:rPr>
              <w:t xml:space="preserve">0.92</w:t>
            </w:r>
          </w:p>
        </w:tc>
        <w:tc>
          <w:tcPr>
            <w:tcW w:type="dxa" w:w="790"/>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val="false"/>
              <w:spacing w:after="0" w:before="0" w:line="240" w:lineRule="auto"/>
              <w:jc w:val="center"/>
            </w:pPr>
            <w:r>
              <w:rPr>
                <w:rFonts w:ascii="TH SarabunPSK" w:cs="TH SarabunPSK" w:eastAsia="TH SarabunPSK" w:hAnsi="TH SarabunPSK"/>
                <w:b/>
                <w:bCs/>
                <w:i w:val="false"/>
                <w:sz w:val="28"/>
                <w:szCs w:val="28"/>
              </w:rPr>
              <w:t xml:space="preserve">0.08</w:t>
            </w:r>
          </w:p>
        </w:tc>
        <w:tc>
          <w:tcPr>
            <w:tcW w:type="dxa" w:w="790"/>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val="false"/>
              <w:spacing w:after="0" w:before="0" w:line="240" w:lineRule="auto"/>
              <w:jc w:val="center"/>
            </w:pPr>
            <w:r>
              <w:rPr>
                <w:rFonts w:ascii="TH SarabunPSK" w:cs="TH SarabunPSK" w:eastAsia="TH SarabunPSK" w:hAnsi="TH SarabunPSK"/>
                <w:b/>
                <w:bCs/>
                <w:i w:val="false"/>
                <w:sz w:val="28"/>
                <w:szCs w:val="28"/>
              </w:rPr>
              <w:t xml:space="preserve">0.92</w:t>
            </w:r>
          </w:p>
        </w:tc>
        <w:tc>
          <w:tcPr>
            <w:tcW w:type="dxa" w:w="790"/>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val="false"/>
              <w:spacing w:after="0" w:before="0" w:line="240" w:lineRule="auto"/>
              <w:jc w:val="center"/>
            </w:pPr>
            <w:r>
              <w:rPr>
                <w:rFonts w:ascii="TH SarabunPSK" w:cs="TH SarabunPSK" w:eastAsia="TH SarabunPSK" w:hAnsi="TH SarabunPSK"/>
                <w:b/>
                <w:bCs/>
                <w:i w:val="false"/>
                <w:sz w:val="28"/>
                <w:szCs w:val="28"/>
              </w:rPr>
              <w:t xml:space="preserve">0.06</w:t>
            </w:r>
          </w:p>
        </w:tc>
      </w:tr>
    </w:tbl>
    <w:p>
      <w:pPr>
        <w:spacing w:after="0" w:before="0" w:line="240" w:lineRule="auto"/>
        <w:ind w:firstLine="0"/>
        <w:jc w:val="left"/>
      </w:pPr>
      <w:r>
        <w:rPr>
          <w:rFonts w:ascii="TH SarabunPSK" w:cs="TH SarabunPSK" w:eastAsia="TH SarabunPSK" w:hAnsi="TH SarabunPSK"/>
          <w:b w:val="false"/>
          <w:i w:val="false"/>
          <w:sz w:val="28"/>
          <w:szCs w:val="28"/>
        </w:rPr>
        <w:t xml:space="preserve">หมายเหตุ: คะแนนเป็นสัดส่วนของคะแนนเฉลี่ยต่อคะแนนเต็ม ทุกด้านอยู่ในระดับมาก (0.75–1.00)</w:t>
      </w:r>
    </w:p>
    <w:p>
      <w:pPr>
        <w:spacing w:after="0" w:before="0" w:line="240" w:lineRule="auto"/>
      </w:pPr>
      <w:r>
        <w:rPr>
          <w:rFonts w:ascii="TH SarabunPSK" w:cs="TH SarabunPSK" w:eastAsia="TH SarabunPSK" w:hAnsi="TH SarabunPSK"/>
          <w:sz w:val="32"/>
          <w:szCs w:val="32"/>
        </w:rPr>
        <w:t xml:space="preserve"/>
      </w:r>
    </w:p>
    <w:p>
      <w:pPr>
        <w:spacing w:after="0" w:before="0" w:line="240" w:lineRule="auto"/>
        <w:ind w:firstLine="709"/>
        <w:jc w:val="thaiDistribute"/>
      </w:pPr>
      <w:r>
        <w:rPr>
          <w:rFonts w:ascii="TH SarabunPSK" w:cs="TH SarabunPSK" w:eastAsia="TH SarabunPSK" w:hAnsi="TH SarabunPSK"/>
          <w:b/>
          <w:bCs/>
          <w:i w:val="false"/>
          <w:sz w:val="32"/>
          <w:szCs w:val="32"/>
        </w:rPr>
        <w:t xml:space="preserve">3. การเปรียบเทียบภายในกลุ่มก่อนและหลังการทดลอง</w:t>
      </w:r>
      <w:r>
        <w:rPr>
          <w:rFonts w:ascii="TH SarabunPSK" w:cs="TH SarabunPSK" w:eastAsia="TH SarabunPSK" w:hAnsi="TH SarabunPSK"/>
          <w:b w:val="false"/>
          <w:i w:val="false"/>
          <w:sz w:val="32"/>
          <w:szCs w:val="32"/>
        </w:rPr>
        <w:t xml:space="preserve"> กลุ่มทดลองมีคะแนนแบบแผนความเชื่อด้านสุขภาพหลังการทดลองแตกต่างจากก่อนการทดลองอย่างมีนัยสำคัญทางสถิติ (Z = -2.19, p = 0.029) ส่วนคะแนนความรอบรู้ด้านสุขภาพไม่แตกต่างกันอย่างมีนัยสำคัญทางสถิติ (Z = -0.99, p = 0.323) สำหรับกลุ่มเปรียบเทียบ คะแนนทั้งสองตัวแปรก่อนและหลังการทดลองไม่แตกต่างกันอย่างมีนัยสำคัญทางสถิติ (p = 0.640 และ p = 0.672 ตามลำดับ) ดังตารางที่ 3</w:t>
      </w:r>
    </w:p>
    <w:p>
      <w:pPr>
        <w:spacing w:after="0" w:before="0" w:line="240" w:lineRule="auto"/>
      </w:pPr>
      <w:r>
        <w:rPr>
          <w:rFonts w:ascii="TH SarabunPSK" w:cs="TH SarabunPSK" w:eastAsia="TH SarabunPSK" w:hAnsi="TH SarabunPSK"/>
          <w:sz w:val="32"/>
          <w:szCs w:val="32"/>
        </w:rPr>
        <w:t xml:space="preserve"/>
      </w:r>
    </w:p>
    <w:p>
      <w:pPr>
        <w:keepNext/>
        <w:spacing w:after="0" w:before="0" w:line="240" w:lineRule="auto"/>
        <w:ind w:left="1080" w:hanging="1080"/>
        <w:jc w:val="left"/>
      </w:pPr>
      <w:r>
        <w:rPr>
          <w:rFonts w:ascii="TH SarabunPSK" w:cs="TH SarabunPSK" w:eastAsia="TH SarabunPSK" w:hAnsi="TH SarabunPSK"/>
          <w:b/>
          <w:bCs/>
          <w:i w:val="false"/>
          <w:sz w:val="32"/>
          <w:szCs w:val="32"/>
        </w:rPr>
        <w:t xml:space="preserve">ตารางที่ 3</w:t>
      </w:r>
      <w:r>
        <w:rPr>
          <w:rFonts w:ascii="TH SarabunPSK" w:cs="TH SarabunPSK" w:eastAsia="TH SarabunPSK" w:hAnsi="TH SarabunPSK"/>
          <w:b w:val="false"/>
          <w:i w:val="false"/>
          <w:sz w:val="32"/>
          <w:szCs w:val="32"/>
        </w:rPr>
        <w:t xml:space="preserve"> การเปรียบเทียบคะแนนแบบแผนความเชื่อด้านสุขภาพและความรอบรู้ด้านสุขภาพ ก่อนและหลังการทดลอง ภายในกลุ่มทดลองและกลุ่มเปรียบเทียบ (Wilcoxon Signed Ranks Test)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6"/>
        <w:gridCol w:w="1000"/>
        <w:gridCol w:w="1000"/>
        <w:gridCol w:w="1000"/>
        <w:gridCol w:w="1000"/>
        <w:gridCol w:w="1000"/>
        <w:gridCol w:w="1000"/>
      </w:tblGrid>
      <w:tr>
        <w:trPr>
          <w:cantSplit/>
          <w:tblHeader/>
        </w:trPr>
        <w:tc>
          <w:tcPr>
            <w:tcW w:type="dxa" w:w="3026"/>
            <w:vMerge w:val="restart"/>
            <w:tcBorders>
              <w:top w:val="single" w:color="000000" w:sz="8"/>
              <w:left w:val="none" w:color="FFFFFF" w:sz="0"/>
              <w:bottom w:val="single" w:color="000000" w:sz="8"/>
              <w:right w:val="none" w:color="FFFFFF" w:sz="0"/>
            </w:tcBorders>
            <w:tcMar>
              <w:top w:type="dxa" w:w="20"/>
              <w:left w:type="dxa" w:w="80"/>
              <w:bottom w:type="dxa" w:w="20"/>
              <w:right w:type="dxa" w:w="80"/>
            </w:tcMar>
            <w:vAlign w:val="center"/>
          </w:tcPr>
          <w:p>
            <w:pPr>
              <w:keepNext/>
              <w:spacing w:after="0" w:before="0" w:line="240" w:lineRule="auto"/>
              <w:jc w:val="left"/>
            </w:pPr>
            <w:r>
              <w:rPr>
                <w:rFonts w:ascii="TH SarabunPSK" w:cs="TH SarabunPSK" w:eastAsia="TH SarabunPSK" w:hAnsi="TH SarabunPSK"/>
                <w:b/>
                <w:bCs/>
                <w:i w:val="false"/>
                <w:sz w:val="28"/>
                <w:szCs w:val="28"/>
              </w:rPr>
              <w:t xml:space="preserve">ตัวแปร</w:t>
            </w:r>
          </w:p>
        </w:tc>
        <w:tc>
          <w:tcPr>
            <w:tcW w:type="dxa" w:w="2000"/>
            <w:gridSpan w:val="2"/>
            <w:tcBorders>
              <w:top w:val="single" w:color="000000" w:sz="8"/>
              <w:left w:val="none" w:color="FFFFFF" w:sz="0"/>
              <w:bottom w:val="single" w:color="000000" w:sz="8"/>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bCs/>
                <w:i w:val="false"/>
                <w:sz w:val="28"/>
                <w:szCs w:val="28"/>
              </w:rPr>
              <w:t xml:space="preserve">ก่อนการทดลอง</w:t>
            </w:r>
          </w:p>
        </w:tc>
        <w:tc>
          <w:tcPr>
            <w:tcW w:type="dxa" w:w="2000"/>
            <w:gridSpan w:val="2"/>
            <w:tcBorders>
              <w:top w:val="single" w:color="000000" w:sz="8"/>
              <w:left w:val="none" w:color="FFFFFF" w:sz="0"/>
              <w:bottom w:val="single" w:color="000000" w:sz="8"/>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bCs/>
                <w:i w:val="false"/>
                <w:sz w:val="28"/>
                <w:szCs w:val="28"/>
              </w:rPr>
              <w:t xml:space="preserve">หลังการทดลอง</w:t>
            </w:r>
          </w:p>
        </w:tc>
        <w:tc>
          <w:tcPr>
            <w:tcW w:type="dxa" w:w="1000"/>
            <w:vMerge w:val="restart"/>
            <w:tcBorders>
              <w:top w:val="single" w:color="000000" w:sz="8"/>
              <w:left w:val="none" w:color="FFFFFF" w:sz="0"/>
              <w:bottom w:val="single" w:color="000000" w:sz="8"/>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bCs/>
                <w:i w:val="false"/>
                <w:sz w:val="28"/>
                <w:szCs w:val="28"/>
              </w:rPr>
              <w:t xml:space="preserve">Z</w:t>
            </w:r>
          </w:p>
        </w:tc>
        <w:tc>
          <w:tcPr>
            <w:tcW w:type="dxa" w:w="1000"/>
            <w:vMerge w:val="restart"/>
            <w:tcBorders>
              <w:top w:val="single" w:color="000000" w:sz="8"/>
              <w:left w:val="none" w:color="FFFFFF" w:sz="0"/>
              <w:bottom w:val="single" w:color="000000" w:sz="8"/>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bCs/>
                <w:i w:val="false"/>
                <w:sz w:val="28"/>
                <w:szCs w:val="28"/>
              </w:rPr>
              <w:t xml:space="preserve">p-value</w:t>
            </w:r>
          </w:p>
        </w:tc>
      </w:tr>
      <w:tr>
        <w:trPr>
          <w:cantSplit/>
          <w:tblHeader/>
        </w:trPr>
        <w:tc>
          <w:tcPr>
            <w:vMerge w:val="continue"/>
            <w:tcBorders>
              <w:top w:val="single" w:color="000000" w:sz="8"/>
              <w:left w:val="none" w:color="FFFFFF" w:sz="0"/>
              <w:bottom w:val="single" w:color="000000" w:sz="8"/>
              <w:right w:val="none" w:color="FFFFFF" w:sz="0"/>
            </w:tcBorders>
          </w:tcPr>
          <w:p/>
        </w:tc>
        <w:tc>
          <w:tcPr>
            <w:tcW w:type="dxa" w:w="3026"/>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bCs/>
                <w:i w:val="false"/>
                <w:sz w:val="28"/>
                <w:szCs w:val="28"/>
              </w:rPr>
              <w:t xml:space="preserve">Mean Rank</w:t>
            </w:r>
          </w:p>
        </w:tc>
        <w:tc>
          <w:tcPr>
            <w:tcW w:type="dxa" w:w="1000"/>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bCs/>
                <w:i w:val="false"/>
                <w:sz w:val="28"/>
                <w:szCs w:val="28"/>
              </w:rPr>
              <w:t xml:space="preserve">Sum of Ranks</w:t>
            </w:r>
          </w:p>
        </w:tc>
        <w:tc>
          <w:tcPr>
            <w:tcW w:type="dxa" w:w="1000"/>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bCs/>
                <w:i w:val="false"/>
                <w:sz w:val="28"/>
                <w:szCs w:val="28"/>
              </w:rPr>
              <w:t xml:space="preserve">Mean Rank</w:t>
            </w:r>
          </w:p>
        </w:tc>
        <w:tc>
          <w:tcPr>
            <w:tcW w:type="dxa" w:w="1000"/>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bCs/>
                <w:i w:val="false"/>
                <w:sz w:val="28"/>
                <w:szCs w:val="28"/>
              </w:rPr>
              <w:t xml:space="preserve">Sum of Ranks</w:t>
            </w:r>
          </w:p>
        </w:tc>
        <w:tc>
          <w:tcPr>
            <w:vMerge w:val="continue"/>
            <w:tcBorders>
              <w:top w:val="single" w:color="000000" w:sz="8"/>
              <w:left w:val="none" w:color="FFFFFF" w:sz="0"/>
              <w:bottom w:val="single" w:color="000000" w:sz="8"/>
              <w:right w:val="none" w:color="FFFFFF" w:sz="0"/>
            </w:tcBorders>
          </w:tcPr>
          <w:p/>
        </w:tc>
        <w:tc>
          <w:tcPr>
            <w:vMerge w:val="continue"/>
            <w:tcBorders>
              <w:top w:val="single" w:color="000000" w:sz="8"/>
              <w:left w:val="none" w:color="FFFFFF" w:sz="0"/>
              <w:bottom w:val="single" w:color="000000" w:sz="8"/>
              <w:right w:val="none" w:color="FFFFFF" w:sz="0"/>
            </w:tcBorders>
          </w:tcPr>
          <w:p/>
        </w:tc>
      </w:tr>
      <w:tr>
        <w:trPr>
          <w:cantSplit/>
          <w:tblHeader w:val="false"/>
        </w:trPr>
        <w:tc>
          <w:tcPr>
            <w:tcW w:type="dxa" w:w="9026"/>
            <w:gridSpan w:val="7"/>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left"/>
            </w:pPr>
            <w:r>
              <w:rPr>
                <w:rFonts w:ascii="TH SarabunPSK" w:cs="TH SarabunPSK" w:eastAsia="TH SarabunPSK" w:hAnsi="TH SarabunPSK"/>
                <w:b/>
                <w:bCs/>
                <w:i w:val="false"/>
                <w:sz w:val="28"/>
                <w:szCs w:val="28"/>
              </w:rPr>
              <w:t xml:space="preserve">กลุ่มทดลอง (n = 40)</w:t>
            </w:r>
          </w:p>
        </w:tc>
      </w:tr>
      <w:tr>
        <w:trPr>
          <w:cantSplit/>
          <w:tblHeader w:val="false"/>
        </w:trPr>
        <w:tc>
          <w:tcPr>
            <w:tcW w:type="dxa" w:w="3026"/>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ind w:left="227"/>
              <w:jc w:val="left"/>
            </w:pPr>
            <w:r>
              <w:rPr>
                <w:rFonts w:ascii="TH SarabunPSK" w:cs="TH SarabunPSK" w:eastAsia="TH SarabunPSK" w:hAnsi="TH SarabunPSK"/>
                <w:b w:val="false"/>
                <w:i w:val="false"/>
                <w:sz w:val="28"/>
                <w:szCs w:val="28"/>
              </w:rPr>
              <w:t xml:space="preserve">แบบแผนความเชื่อด้านสุขภาพ</w:t>
            </w:r>
          </w:p>
        </w:tc>
        <w:tc>
          <w:tcPr>
            <w:tcW w:type="dxa" w:w="100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15.93</w:t>
            </w:r>
          </w:p>
        </w:tc>
        <w:tc>
          <w:tcPr>
            <w:tcW w:type="dxa" w:w="100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318.50</w:t>
            </w:r>
          </w:p>
        </w:tc>
        <w:tc>
          <w:tcPr>
            <w:tcW w:type="dxa" w:w="100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12.94</w:t>
            </w:r>
          </w:p>
        </w:tc>
        <w:tc>
          <w:tcPr>
            <w:tcW w:type="dxa" w:w="100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116.50</w:t>
            </w:r>
          </w:p>
        </w:tc>
        <w:tc>
          <w:tcPr>
            <w:tcW w:type="dxa" w:w="100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-2.19</w:t>
            </w:r>
          </w:p>
        </w:tc>
        <w:tc>
          <w:tcPr>
            <w:tcW w:type="dxa" w:w="100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0.029*</w:t>
            </w:r>
          </w:p>
        </w:tc>
      </w:tr>
      <w:tr>
        <w:trPr>
          <w:cantSplit/>
          <w:tblHeader w:val="false"/>
        </w:trPr>
        <w:tc>
          <w:tcPr>
            <w:tcW w:type="dxa" w:w="3026"/>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ind w:left="227"/>
              <w:jc w:val="left"/>
            </w:pPr>
            <w:r>
              <w:rPr>
                <w:rFonts w:ascii="TH SarabunPSK" w:cs="TH SarabunPSK" w:eastAsia="TH SarabunPSK" w:hAnsi="TH SarabunPSK"/>
                <w:b w:val="false"/>
                <w:i w:val="false"/>
                <w:sz w:val="28"/>
                <w:szCs w:val="28"/>
              </w:rPr>
              <w:t xml:space="preserve">ความรอบรู้ด้านสุขภาพ</w:t>
            </w:r>
          </w:p>
        </w:tc>
        <w:tc>
          <w:tcPr>
            <w:tcW w:type="dxa" w:w="100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21.98</w:t>
            </w:r>
          </w:p>
        </w:tc>
        <w:tc>
          <w:tcPr>
            <w:tcW w:type="dxa" w:w="100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483.50</w:t>
            </w:r>
          </w:p>
        </w:tc>
        <w:tc>
          <w:tcPr>
            <w:tcW w:type="dxa" w:w="100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18.69</w:t>
            </w:r>
          </w:p>
        </w:tc>
        <w:tc>
          <w:tcPr>
            <w:tcW w:type="dxa" w:w="100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336.50</w:t>
            </w:r>
          </w:p>
        </w:tc>
        <w:tc>
          <w:tcPr>
            <w:tcW w:type="dxa" w:w="100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-0.99</w:t>
            </w:r>
          </w:p>
        </w:tc>
        <w:tc>
          <w:tcPr>
            <w:tcW w:type="dxa" w:w="100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0.323</w:t>
            </w:r>
          </w:p>
        </w:tc>
      </w:tr>
      <w:tr>
        <w:trPr>
          <w:cantSplit/>
          <w:tblHeader w:val="false"/>
        </w:trPr>
        <w:tc>
          <w:tcPr>
            <w:tcW w:type="dxa" w:w="9026"/>
            <w:gridSpan w:val="7"/>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left"/>
            </w:pPr>
            <w:r>
              <w:rPr>
                <w:rFonts w:ascii="TH SarabunPSK" w:cs="TH SarabunPSK" w:eastAsia="TH SarabunPSK" w:hAnsi="TH SarabunPSK"/>
                <w:b/>
                <w:bCs/>
                <w:i w:val="false"/>
                <w:sz w:val="28"/>
                <w:szCs w:val="28"/>
              </w:rPr>
              <w:t xml:space="preserve">กลุ่มเปรียบเทียบ (n = 40)</w:t>
            </w:r>
          </w:p>
        </w:tc>
      </w:tr>
      <w:tr>
        <w:trPr>
          <w:cantSplit/>
          <w:tblHeader w:val="false"/>
        </w:trPr>
        <w:tc>
          <w:tcPr>
            <w:tcW w:type="dxa" w:w="3026"/>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ind w:left="227"/>
              <w:jc w:val="left"/>
            </w:pPr>
            <w:r>
              <w:rPr>
                <w:rFonts w:ascii="TH SarabunPSK" w:cs="TH SarabunPSK" w:eastAsia="TH SarabunPSK" w:hAnsi="TH SarabunPSK"/>
                <w:b w:val="false"/>
                <w:i w:val="false"/>
                <w:sz w:val="28"/>
                <w:szCs w:val="28"/>
              </w:rPr>
              <w:t xml:space="preserve">แบบแผนความเชื่อด้านสุขภาพ</w:t>
            </w:r>
          </w:p>
        </w:tc>
        <w:tc>
          <w:tcPr>
            <w:tcW w:type="dxa" w:w="100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18.76</w:t>
            </w:r>
          </w:p>
        </w:tc>
        <w:tc>
          <w:tcPr>
            <w:tcW w:type="dxa" w:w="100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356.50</w:t>
            </w:r>
          </w:p>
        </w:tc>
        <w:tc>
          <w:tcPr>
            <w:tcW w:type="dxa" w:w="100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21.18</w:t>
            </w:r>
          </w:p>
        </w:tc>
        <w:tc>
          <w:tcPr>
            <w:tcW w:type="dxa" w:w="100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423.50</w:t>
            </w:r>
          </w:p>
        </w:tc>
        <w:tc>
          <w:tcPr>
            <w:tcW w:type="dxa" w:w="100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-0.47</w:t>
            </w:r>
          </w:p>
        </w:tc>
        <w:tc>
          <w:tcPr>
            <w:tcW w:type="dxa" w:w="100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0.640</w:t>
            </w:r>
          </w:p>
        </w:tc>
      </w:tr>
      <w:tr>
        <w:trPr>
          <w:cantSplit/>
          <w:tblHeader w:val="false"/>
        </w:trPr>
        <w:tc>
          <w:tcPr>
            <w:tcW w:type="dxa" w:w="3026"/>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val="false"/>
              <w:spacing w:after="0" w:before="0" w:line="240" w:lineRule="auto"/>
              <w:ind w:left="227"/>
              <w:jc w:val="left"/>
            </w:pPr>
            <w:r>
              <w:rPr>
                <w:rFonts w:ascii="TH SarabunPSK" w:cs="TH SarabunPSK" w:eastAsia="TH SarabunPSK" w:hAnsi="TH SarabunPSK"/>
                <w:b w:val="false"/>
                <w:i w:val="false"/>
                <w:sz w:val="28"/>
                <w:szCs w:val="28"/>
              </w:rPr>
              <w:t xml:space="preserve">ความรอบรู้ด้านสุขภาพ</w:t>
            </w:r>
          </w:p>
        </w:tc>
        <w:tc>
          <w:tcPr>
            <w:tcW w:type="dxa" w:w="1000"/>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val="false"/>
              <w:spacing w:after="0" w:before="0" w:line="240" w:lineRule="auto"/>
              <w:jc w:val="center"/>
            </w:pPr>
            <w:r>
              <w:rPr>
                <w:rFonts w:ascii="TH SarabunPSK" w:cs="TH SarabunPSK" w:eastAsia="TH SarabunPSK" w:hAnsi="TH SarabunPSK"/>
                <w:b w:val="false"/>
                <w:i w:val="false"/>
                <w:sz w:val="28"/>
                <w:szCs w:val="28"/>
              </w:rPr>
              <w:t xml:space="preserve">25.23</w:t>
            </w:r>
          </w:p>
        </w:tc>
        <w:tc>
          <w:tcPr>
            <w:tcW w:type="dxa" w:w="1000"/>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val="false"/>
              <w:spacing w:after="0" w:before="0" w:line="240" w:lineRule="auto"/>
              <w:jc w:val="center"/>
            </w:pPr>
            <w:r>
              <w:rPr>
                <w:rFonts w:ascii="TH SarabunPSK" w:cs="TH SarabunPSK" w:eastAsia="TH SarabunPSK" w:hAnsi="TH SarabunPSK"/>
                <w:b w:val="false"/>
                <w:i w:val="false"/>
                <w:sz w:val="28"/>
                <w:szCs w:val="28"/>
              </w:rPr>
              <w:t xml:space="preserve">378.50</w:t>
            </w:r>
          </w:p>
        </w:tc>
        <w:tc>
          <w:tcPr>
            <w:tcW w:type="dxa" w:w="1000"/>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val="false"/>
              <w:spacing w:after="0" w:before="0" w:line="240" w:lineRule="auto"/>
              <w:jc w:val="center"/>
            </w:pPr>
            <w:r>
              <w:rPr>
                <w:rFonts w:ascii="TH SarabunPSK" w:cs="TH SarabunPSK" w:eastAsia="TH SarabunPSK" w:hAnsi="TH SarabunPSK"/>
                <w:b w:val="false"/>
                <w:i w:val="false"/>
                <w:sz w:val="28"/>
                <w:szCs w:val="28"/>
              </w:rPr>
              <w:t xml:space="preserve">17.66</w:t>
            </w:r>
          </w:p>
        </w:tc>
        <w:tc>
          <w:tcPr>
            <w:tcW w:type="dxa" w:w="1000"/>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val="false"/>
              <w:spacing w:after="0" w:before="0" w:line="240" w:lineRule="auto"/>
              <w:jc w:val="center"/>
            </w:pPr>
            <w:r>
              <w:rPr>
                <w:rFonts w:ascii="TH SarabunPSK" w:cs="TH SarabunPSK" w:eastAsia="TH SarabunPSK" w:hAnsi="TH SarabunPSK"/>
                <w:b w:val="false"/>
                <w:i w:val="false"/>
                <w:sz w:val="28"/>
                <w:szCs w:val="28"/>
              </w:rPr>
              <w:t xml:space="preserve">441.50</w:t>
            </w:r>
          </w:p>
        </w:tc>
        <w:tc>
          <w:tcPr>
            <w:tcW w:type="dxa" w:w="1000"/>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val="false"/>
              <w:spacing w:after="0" w:before="0" w:line="240" w:lineRule="auto"/>
              <w:jc w:val="center"/>
            </w:pPr>
            <w:r>
              <w:rPr>
                <w:rFonts w:ascii="TH SarabunPSK" w:cs="TH SarabunPSK" w:eastAsia="TH SarabunPSK" w:hAnsi="TH SarabunPSK"/>
                <w:b w:val="false"/>
                <w:i w:val="false"/>
                <w:sz w:val="28"/>
                <w:szCs w:val="28"/>
              </w:rPr>
              <w:t xml:space="preserve">-0.42</w:t>
            </w:r>
          </w:p>
        </w:tc>
        <w:tc>
          <w:tcPr>
            <w:tcW w:type="dxa" w:w="1000"/>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val="false"/>
              <w:spacing w:after="0" w:before="0" w:line="240" w:lineRule="auto"/>
              <w:jc w:val="center"/>
            </w:pPr>
            <w:r>
              <w:rPr>
                <w:rFonts w:ascii="TH SarabunPSK" w:cs="TH SarabunPSK" w:eastAsia="TH SarabunPSK" w:hAnsi="TH SarabunPSK"/>
                <w:b w:val="false"/>
                <w:i w:val="false"/>
                <w:sz w:val="28"/>
                <w:szCs w:val="28"/>
              </w:rPr>
              <w:t xml:space="preserve">0.672</w:t>
            </w:r>
          </w:p>
        </w:tc>
      </w:tr>
    </w:tbl>
    <w:p>
      <w:pPr>
        <w:spacing w:after="0" w:before="0" w:line="240" w:lineRule="auto"/>
        <w:ind w:firstLine="0"/>
        <w:jc w:val="left"/>
      </w:pPr>
      <w:r>
        <w:rPr>
          <w:rFonts w:ascii="TH SarabunPSK" w:cs="TH SarabunPSK" w:eastAsia="TH SarabunPSK" w:hAnsi="TH SarabunPSK"/>
          <w:b w:val="false"/>
          <w:i w:val="false"/>
          <w:sz w:val="28"/>
          <w:szCs w:val="28"/>
        </w:rPr>
        <w:t xml:space="preserve">* p-value &lt; 0.05</w:t>
      </w:r>
    </w:p>
    <w:p>
      <w:pPr>
        <w:spacing w:after="0" w:before="0" w:line="240" w:lineRule="auto"/>
      </w:pPr>
      <w:r>
        <w:rPr>
          <w:rFonts w:ascii="TH SarabunPSK" w:cs="TH SarabunPSK" w:eastAsia="TH SarabunPSK" w:hAnsi="TH SarabunPSK"/>
          <w:sz w:val="32"/>
          <w:szCs w:val="32"/>
        </w:rPr>
        <w:t xml:space="preserve"/>
      </w:r>
    </w:p>
    <w:p>
      <w:pPr>
        <w:spacing w:after="0" w:before="0" w:line="240" w:lineRule="auto"/>
        <w:ind w:firstLine="709"/>
        <w:jc w:val="thaiDistribute"/>
      </w:pPr>
      <w:r>
        <w:rPr>
          <w:rFonts w:ascii="TH SarabunPSK" w:cs="TH SarabunPSK" w:eastAsia="TH SarabunPSK" w:hAnsi="TH SarabunPSK"/>
          <w:b/>
          <w:bCs/>
          <w:i w:val="false"/>
          <w:sz w:val="32"/>
          <w:szCs w:val="32"/>
        </w:rPr>
        <w:t xml:space="preserve">4. การเปรียบเทียบระหว่างกลุ่มทดลองและกลุ่มเปรียบเทียบ</w:t>
      </w:r>
      <w:r>
        <w:rPr>
          <w:rFonts w:ascii="TH SarabunPSK" w:cs="TH SarabunPSK" w:eastAsia="TH SarabunPSK" w:hAnsi="TH SarabunPSK"/>
          <w:b w:val="false"/>
          <w:i w:val="false"/>
          <w:sz w:val="32"/>
          <w:szCs w:val="32"/>
        </w:rPr>
        <w:t xml:space="preserve"> ก่อนการทดลอง คะแนนแบบแผนความเชื่อด้านสุขภาพ (Z = -1.45, p = 0.146) และความรอบรู้ด้านสุขภาพ (Z = -0.88, p = 0.378) ของทั้งสองกลุ่มไม่แตกต่างกันอย่างมีนัยสำคัญทางสถิติ หลังการทดลอง กลุ่มทดลองมีคะแนนแบบแผนความเชื่อด้านสุขภาพ (Z = -4.54, p &lt; 0.001) และความรอบรู้ด้านสุขภาพ (Z = -2.28, p = 0.023) สูงกว่ากลุ่มเปรียบเทียบอย่างมีนัยสำคัญทางสถิติ ดังตารางที่ 4</w:t>
      </w:r>
    </w:p>
    <w:p>
      <w:pPr>
        <w:spacing w:after="0" w:before="0" w:line="240" w:lineRule="auto"/>
      </w:pPr>
      <w:r>
        <w:rPr>
          <w:rFonts w:ascii="TH SarabunPSK" w:cs="TH SarabunPSK" w:eastAsia="TH SarabunPSK" w:hAnsi="TH SarabunPSK"/>
          <w:sz w:val="32"/>
          <w:szCs w:val="32"/>
        </w:rPr>
        <w:t xml:space="preserve"/>
      </w:r>
    </w:p>
    <w:p>
      <w:pPr>
        <w:keepNext/>
        <w:spacing w:after="0" w:before="0" w:line="240" w:lineRule="auto"/>
        <w:ind w:left="1080" w:hanging="1080"/>
        <w:jc w:val="left"/>
      </w:pPr>
      <w:r>
        <w:rPr>
          <w:rFonts w:ascii="TH SarabunPSK" w:cs="TH SarabunPSK" w:eastAsia="TH SarabunPSK" w:hAnsi="TH SarabunPSK"/>
          <w:b/>
          <w:bCs/>
          <w:i w:val="false"/>
          <w:sz w:val="32"/>
          <w:szCs w:val="32"/>
        </w:rPr>
        <w:t xml:space="preserve">ตารางที่ 4</w:t>
      </w:r>
      <w:r>
        <w:rPr>
          <w:rFonts w:ascii="TH SarabunPSK" w:cs="TH SarabunPSK" w:eastAsia="TH SarabunPSK" w:hAnsi="TH SarabunPSK"/>
          <w:b w:val="false"/>
          <w:i w:val="false"/>
          <w:sz w:val="32"/>
          <w:szCs w:val="32"/>
        </w:rPr>
        <w:t xml:space="preserve"> การเปรียบเทียบคะแนนแบบแผนความเชื่อด้านสุขภาพและความรอบรู้ด้านสุขภาพ ระหว่างกลุ่มทดลองและกลุ่มเปรียบเทียบ ก่อนและหลังการทดลอง (Mann-Whitney U Test)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6"/>
        <w:gridCol w:w="1200"/>
        <w:gridCol w:w="1200"/>
        <w:gridCol w:w="1300"/>
        <w:gridCol w:w="1150"/>
        <w:gridCol w:w="1150"/>
      </w:tblGrid>
      <w:tr>
        <w:trPr>
          <w:cantSplit/>
          <w:tblHeader/>
        </w:trPr>
        <w:tc>
          <w:tcPr>
            <w:tcW w:type="dxa" w:w="3026"/>
            <w:tcBorders>
              <w:top w:val="single" w:color="000000" w:sz="8"/>
              <w:left w:val="none" w:color="FFFFFF" w:sz="0"/>
              <w:bottom w:val="single" w:color="000000" w:sz="8"/>
              <w:right w:val="none" w:color="FFFFFF" w:sz="0"/>
            </w:tcBorders>
            <w:tcMar>
              <w:top w:type="dxa" w:w="20"/>
              <w:left w:type="dxa" w:w="80"/>
              <w:bottom w:type="dxa" w:w="20"/>
              <w:right w:type="dxa" w:w="80"/>
            </w:tcMar>
            <w:vAlign w:val="center"/>
          </w:tcPr>
          <w:p>
            <w:pPr>
              <w:keepNext/>
              <w:spacing w:after="0" w:before="0" w:line="240" w:lineRule="auto"/>
              <w:jc w:val="left"/>
            </w:pPr>
            <w:r>
              <w:rPr>
                <w:rFonts w:ascii="TH SarabunPSK" w:cs="TH SarabunPSK" w:eastAsia="TH SarabunPSK" w:hAnsi="TH SarabunPSK"/>
                <w:b/>
                <w:bCs/>
                <w:i w:val="false"/>
                <w:sz w:val="28"/>
                <w:szCs w:val="28"/>
              </w:rPr>
              <w:t xml:space="preserve">ตัวแปร</w:t>
            </w:r>
          </w:p>
        </w:tc>
        <w:tc>
          <w:tcPr>
            <w:tcW w:type="dxa" w:w="1200"/>
            <w:tcBorders>
              <w:top w:val="single" w:color="000000" w:sz="8"/>
              <w:left w:val="none" w:color="FFFFFF" w:sz="0"/>
              <w:bottom w:val="single" w:color="000000" w:sz="8"/>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bCs/>
                <w:i w:val="false"/>
                <w:sz w:val="28"/>
                <w:szCs w:val="28"/>
              </w:rPr>
              <w:t xml:space="preserve">Mean Rank</w:t>
            </w:r>
          </w:p>
        </w:tc>
        <w:tc>
          <w:tcPr>
            <w:tcW w:type="dxa" w:w="1200"/>
            <w:tcBorders>
              <w:top w:val="single" w:color="000000" w:sz="8"/>
              <w:left w:val="none" w:color="FFFFFF" w:sz="0"/>
              <w:bottom w:val="single" w:color="000000" w:sz="8"/>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bCs/>
                <w:i w:val="false"/>
                <w:sz w:val="28"/>
                <w:szCs w:val="28"/>
              </w:rPr>
              <w:t xml:space="preserve">Sum of Ranks</w:t>
            </w:r>
          </w:p>
        </w:tc>
        <w:tc>
          <w:tcPr>
            <w:tcW w:type="dxa" w:w="1300"/>
            <w:tcBorders>
              <w:top w:val="single" w:color="000000" w:sz="8"/>
              <w:left w:val="none" w:color="FFFFFF" w:sz="0"/>
              <w:bottom w:val="single" w:color="000000" w:sz="8"/>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bCs/>
                <w:i w:val="false"/>
                <w:sz w:val="28"/>
                <w:szCs w:val="28"/>
              </w:rPr>
              <w:t xml:space="preserve">Mann-Whitney U</w:t>
            </w:r>
          </w:p>
        </w:tc>
        <w:tc>
          <w:tcPr>
            <w:tcW w:type="dxa" w:w="1150"/>
            <w:tcBorders>
              <w:top w:val="single" w:color="000000" w:sz="8"/>
              <w:left w:val="none" w:color="FFFFFF" w:sz="0"/>
              <w:bottom w:val="single" w:color="000000" w:sz="8"/>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bCs/>
                <w:i w:val="false"/>
                <w:sz w:val="28"/>
                <w:szCs w:val="28"/>
              </w:rPr>
              <w:t xml:space="preserve">Z</w:t>
            </w:r>
          </w:p>
        </w:tc>
        <w:tc>
          <w:tcPr>
            <w:tcW w:type="dxa" w:w="1150"/>
            <w:tcBorders>
              <w:top w:val="single" w:color="000000" w:sz="8"/>
              <w:left w:val="none" w:color="FFFFFF" w:sz="0"/>
              <w:bottom w:val="single" w:color="000000" w:sz="8"/>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bCs/>
                <w:i w:val="false"/>
                <w:sz w:val="28"/>
                <w:szCs w:val="28"/>
              </w:rPr>
              <w:t xml:space="preserve">p-value</w:t>
            </w:r>
          </w:p>
        </w:tc>
      </w:tr>
      <w:tr>
        <w:trPr>
          <w:cantSplit/>
          <w:tblHeader w:val="false"/>
        </w:trPr>
        <w:tc>
          <w:tcPr>
            <w:tcW w:type="dxa" w:w="9026"/>
            <w:gridSpan w:val="6"/>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left"/>
            </w:pPr>
            <w:r>
              <w:rPr>
                <w:rFonts w:ascii="TH SarabunPSK" w:cs="TH SarabunPSK" w:eastAsia="TH SarabunPSK" w:hAnsi="TH SarabunPSK"/>
                <w:b/>
                <w:bCs/>
                <w:i w:val="false"/>
                <w:sz w:val="28"/>
                <w:szCs w:val="28"/>
              </w:rPr>
              <w:t xml:space="preserve">ก่อนการทดลอง</w:t>
            </w:r>
          </w:p>
        </w:tc>
      </w:tr>
      <w:tr>
        <w:trPr>
          <w:cantSplit/>
          <w:tblHeader w:val="false"/>
        </w:trPr>
        <w:tc>
          <w:tcPr>
            <w:tcW w:type="dxa" w:w="9026"/>
            <w:gridSpan w:val="6"/>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ind w:left="227"/>
              <w:jc w:val="left"/>
            </w:pPr>
            <w:r>
              <w:rPr>
                <w:rFonts w:ascii="TH SarabunPSK" w:cs="TH SarabunPSK" w:eastAsia="TH SarabunPSK" w:hAnsi="TH SarabunPSK"/>
                <w:b w:val="false"/>
                <w:i w:val="false"/>
                <w:sz w:val="28"/>
                <w:szCs w:val="28"/>
              </w:rPr>
              <w:t xml:space="preserve">แบบแผนความเชื่อด้านสุขภาพ</w:t>
            </w:r>
          </w:p>
        </w:tc>
      </w:tr>
      <w:tr>
        <w:trPr>
          <w:cantSplit/>
          <w:tblHeader w:val="false"/>
        </w:trPr>
        <w:tc>
          <w:tcPr>
            <w:tcW w:type="dxa" w:w="3026"/>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ind w:left="454"/>
              <w:jc w:val="left"/>
            </w:pPr>
            <w:r>
              <w:rPr>
                <w:rFonts w:ascii="TH SarabunPSK" w:cs="TH SarabunPSK" w:eastAsia="TH SarabunPSK" w:hAnsi="TH SarabunPSK"/>
                <w:b w:val="false"/>
                <w:i w:val="false"/>
                <w:sz w:val="28"/>
                <w:szCs w:val="28"/>
              </w:rPr>
              <w:t xml:space="preserve">กลุ่มทดลอง</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44.20</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1768.00</w:t>
            </w:r>
          </w:p>
        </w:tc>
        <w:tc>
          <w:tcPr>
            <w:tcW w:type="dxa" w:w="1300"/>
            <w:vMerge w:val="restart"/>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652.00</w:t>
            </w:r>
          </w:p>
        </w:tc>
        <w:tc>
          <w:tcPr>
            <w:tcW w:type="dxa" w:w="1150"/>
            <w:vMerge w:val="restart"/>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-1.45</w:t>
            </w:r>
          </w:p>
        </w:tc>
        <w:tc>
          <w:tcPr>
            <w:tcW w:type="dxa" w:w="1150"/>
            <w:vMerge w:val="restart"/>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0.146</w:t>
            </w:r>
          </w:p>
        </w:tc>
      </w:tr>
      <w:tr>
        <w:trPr>
          <w:cantSplit/>
          <w:tblHeader w:val="false"/>
        </w:trPr>
        <w:tc>
          <w:tcPr>
            <w:tcW w:type="dxa" w:w="3026"/>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ind w:left="454"/>
              <w:jc w:val="left"/>
            </w:pPr>
            <w:r>
              <w:rPr>
                <w:rFonts w:ascii="TH SarabunPSK" w:cs="TH SarabunPSK" w:eastAsia="TH SarabunPSK" w:hAnsi="TH SarabunPSK"/>
                <w:b w:val="false"/>
                <w:i w:val="false"/>
                <w:sz w:val="28"/>
                <w:szCs w:val="28"/>
              </w:rPr>
              <w:t xml:space="preserve">กลุ่มเปรียบเทียบ</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36.80</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1472.00</w:t>
            </w:r>
          </w:p>
        </w:tc>
        <w:tc>
          <w:tcPr>
            <w:vMerge w:val="continue"/>
            <w:tcBorders>
              <w:top w:val="none" w:color="FFFFFF" w:sz="0"/>
              <w:left w:val="none" w:color="FFFFFF" w:sz="0"/>
              <w:bottom w:val="none" w:color="FFFFFF" w:sz="0"/>
              <w:right w:val="none" w:color="FFFFFF" w:sz="0"/>
            </w:tcBorders>
          </w:tcPr>
          <w:p/>
        </w:tc>
        <w:tc>
          <w:tcPr>
            <w:vMerge w:val="continue"/>
            <w:tcBorders>
              <w:top w:val="none" w:color="FFFFFF" w:sz="0"/>
              <w:left w:val="none" w:color="FFFFFF" w:sz="0"/>
              <w:bottom w:val="none" w:color="FFFFFF" w:sz="0"/>
              <w:right w:val="none" w:color="FFFFFF" w:sz="0"/>
            </w:tcBorders>
          </w:tcPr>
          <w:p/>
        </w:tc>
        <w:tc>
          <w:tcPr>
            <w:vMerge w:val="continue"/>
            <w:tcBorders>
              <w:top w:val="none" w:color="FFFFFF" w:sz="0"/>
              <w:left w:val="none" w:color="FFFFFF" w:sz="0"/>
              <w:bottom w:val="none" w:color="FFFFFF" w:sz="0"/>
              <w:right w:val="none" w:color="FFFFFF" w:sz="0"/>
            </w:tcBorders>
          </w:tcPr>
          <w:p/>
        </w:tc>
      </w:tr>
      <w:tr>
        <w:trPr>
          <w:cantSplit/>
          <w:tblHeader w:val="false"/>
        </w:trPr>
        <w:tc>
          <w:tcPr>
            <w:tcW w:type="dxa" w:w="9026"/>
            <w:gridSpan w:val="6"/>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ind w:left="227"/>
              <w:jc w:val="left"/>
            </w:pPr>
            <w:r>
              <w:rPr>
                <w:rFonts w:ascii="TH SarabunPSK" w:cs="TH SarabunPSK" w:eastAsia="TH SarabunPSK" w:hAnsi="TH SarabunPSK"/>
                <w:b w:val="false"/>
                <w:i w:val="false"/>
                <w:sz w:val="28"/>
                <w:szCs w:val="28"/>
              </w:rPr>
              <w:t xml:space="preserve">ความรอบรู้ด้านสุขภาพ</w:t>
            </w:r>
          </w:p>
        </w:tc>
      </w:tr>
      <w:tr>
        <w:trPr>
          <w:cantSplit/>
          <w:tblHeader w:val="false"/>
        </w:trPr>
        <w:tc>
          <w:tcPr>
            <w:tcW w:type="dxa" w:w="3026"/>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ind w:left="454"/>
              <w:jc w:val="left"/>
            </w:pPr>
            <w:r>
              <w:rPr>
                <w:rFonts w:ascii="TH SarabunPSK" w:cs="TH SarabunPSK" w:eastAsia="TH SarabunPSK" w:hAnsi="TH SarabunPSK"/>
                <w:b w:val="false"/>
                <w:i w:val="false"/>
                <w:sz w:val="28"/>
                <w:szCs w:val="28"/>
              </w:rPr>
              <w:t xml:space="preserve">กลุ่มทดลอง</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42.79</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1711.50</w:t>
            </w:r>
          </w:p>
        </w:tc>
        <w:tc>
          <w:tcPr>
            <w:tcW w:type="dxa" w:w="1300"/>
            <w:vMerge w:val="restart"/>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708.50</w:t>
            </w:r>
          </w:p>
        </w:tc>
        <w:tc>
          <w:tcPr>
            <w:tcW w:type="dxa" w:w="1150"/>
            <w:vMerge w:val="restart"/>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-0.88</w:t>
            </w:r>
          </w:p>
        </w:tc>
        <w:tc>
          <w:tcPr>
            <w:tcW w:type="dxa" w:w="1150"/>
            <w:vMerge w:val="restart"/>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0.378</w:t>
            </w:r>
          </w:p>
        </w:tc>
      </w:tr>
      <w:tr>
        <w:trPr>
          <w:cantSplit/>
          <w:tblHeader w:val="false"/>
        </w:trPr>
        <w:tc>
          <w:tcPr>
            <w:tcW w:type="dxa" w:w="3026"/>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ind w:left="454"/>
              <w:jc w:val="left"/>
            </w:pPr>
            <w:r>
              <w:rPr>
                <w:rFonts w:ascii="TH SarabunPSK" w:cs="TH SarabunPSK" w:eastAsia="TH SarabunPSK" w:hAnsi="TH SarabunPSK"/>
                <w:b w:val="false"/>
                <w:i w:val="false"/>
                <w:sz w:val="28"/>
                <w:szCs w:val="28"/>
              </w:rPr>
              <w:t xml:space="preserve">กลุ่มเปรียบเทียบ</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38.21</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1528.50</w:t>
            </w:r>
          </w:p>
        </w:tc>
        <w:tc>
          <w:tcPr>
            <w:vMerge w:val="continue"/>
            <w:tcBorders>
              <w:top w:val="none" w:color="FFFFFF" w:sz="0"/>
              <w:left w:val="none" w:color="FFFFFF" w:sz="0"/>
              <w:bottom w:val="none" w:color="FFFFFF" w:sz="0"/>
              <w:right w:val="none" w:color="FFFFFF" w:sz="0"/>
            </w:tcBorders>
          </w:tcPr>
          <w:p/>
        </w:tc>
        <w:tc>
          <w:tcPr>
            <w:vMerge w:val="continue"/>
            <w:tcBorders>
              <w:top w:val="none" w:color="FFFFFF" w:sz="0"/>
              <w:left w:val="none" w:color="FFFFFF" w:sz="0"/>
              <w:bottom w:val="none" w:color="FFFFFF" w:sz="0"/>
              <w:right w:val="none" w:color="FFFFFF" w:sz="0"/>
            </w:tcBorders>
          </w:tcPr>
          <w:p/>
        </w:tc>
        <w:tc>
          <w:tcPr>
            <w:vMerge w:val="continue"/>
            <w:tcBorders>
              <w:top w:val="none" w:color="FFFFFF" w:sz="0"/>
              <w:left w:val="none" w:color="FFFFFF" w:sz="0"/>
              <w:bottom w:val="none" w:color="FFFFFF" w:sz="0"/>
              <w:right w:val="none" w:color="FFFFFF" w:sz="0"/>
            </w:tcBorders>
          </w:tcPr>
          <w:p/>
        </w:tc>
      </w:tr>
      <w:tr>
        <w:trPr>
          <w:cantSplit/>
          <w:tblHeader w:val="false"/>
        </w:trPr>
        <w:tc>
          <w:tcPr>
            <w:tcW w:type="dxa" w:w="9026"/>
            <w:gridSpan w:val="6"/>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left"/>
            </w:pPr>
            <w:r>
              <w:rPr>
                <w:rFonts w:ascii="TH SarabunPSK" w:cs="TH SarabunPSK" w:eastAsia="TH SarabunPSK" w:hAnsi="TH SarabunPSK"/>
                <w:b/>
                <w:bCs/>
                <w:i w:val="false"/>
                <w:sz w:val="28"/>
                <w:szCs w:val="28"/>
              </w:rPr>
              <w:t xml:space="preserve">หลังการทดลอง</w:t>
            </w:r>
          </w:p>
        </w:tc>
      </w:tr>
      <w:tr>
        <w:trPr>
          <w:cantSplit/>
          <w:tblHeader w:val="false"/>
        </w:trPr>
        <w:tc>
          <w:tcPr>
            <w:tcW w:type="dxa" w:w="9026"/>
            <w:gridSpan w:val="6"/>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ind w:left="227"/>
              <w:jc w:val="left"/>
            </w:pPr>
            <w:r>
              <w:rPr>
                <w:rFonts w:ascii="TH SarabunPSK" w:cs="TH SarabunPSK" w:eastAsia="TH SarabunPSK" w:hAnsi="TH SarabunPSK"/>
                <w:b w:val="false"/>
                <w:i w:val="false"/>
                <w:sz w:val="28"/>
                <w:szCs w:val="28"/>
              </w:rPr>
              <w:t xml:space="preserve">แบบแผนความเชื่อด้านสุขภาพ</w:t>
            </w:r>
          </w:p>
        </w:tc>
      </w:tr>
      <w:tr>
        <w:trPr>
          <w:cantSplit/>
          <w:tblHeader w:val="false"/>
        </w:trPr>
        <w:tc>
          <w:tcPr>
            <w:tcW w:type="dxa" w:w="3026"/>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ind w:left="454"/>
              <w:jc w:val="left"/>
            </w:pPr>
            <w:r>
              <w:rPr>
                <w:rFonts w:ascii="TH SarabunPSK" w:cs="TH SarabunPSK" w:eastAsia="TH SarabunPSK" w:hAnsi="TH SarabunPSK"/>
                <w:b w:val="false"/>
                <w:i w:val="false"/>
                <w:sz w:val="28"/>
                <w:szCs w:val="28"/>
              </w:rPr>
              <w:t xml:space="preserve">กลุ่มทดลอง</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52.09</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2083.50</w:t>
            </w:r>
          </w:p>
        </w:tc>
        <w:tc>
          <w:tcPr>
            <w:tcW w:type="dxa" w:w="1300"/>
            <w:vMerge w:val="restart"/>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336.50</w:t>
            </w:r>
          </w:p>
        </w:tc>
        <w:tc>
          <w:tcPr>
            <w:tcW w:type="dxa" w:w="1150"/>
            <w:vMerge w:val="restart"/>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-4.54</w:t>
            </w:r>
          </w:p>
        </w:tc>
        <w:tc>
          <w:tcPr>
            <w:tcW w:type="dxa" w:w="1150"/>
            <w:vMerge w:val="restart"/>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&lt; 0.001***</w:t>
            </w:r>
          </w:p>
        </w:tc>
      </w:tr>
      <w:tr>
        <w:trPr>
          <w:cantSplit/>
          <w:tblHeader w:val="false"/>
        </w:trPr>
        <w:tc>
          <w:tcPr>
            <w:tcW w:type="dxa" w:w="3026"/>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ind w:left="454"/>
              <w:jc w:val="left"/>
            </w:pPr>
            <w:r>
              <w:rPr>
                <w:rFonts w:ascii="TH SarabunPSK" w:cs="TH SarabunPSK" w:eastAsia="TH SarabunPSK" w:hAnsi="TH SarabunPSK"/>
                <w:b w:val="false"/>
                <w:i w:val="false"/>
                <w:sz w:val="28"/>
                <w:szCs w:val="28"/>
              </w:rPr>
              <w:t xml:space="preserve">กลุ่มเปรียบเทียบ</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28.91</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1156.50</w:t>
            </w:r>
          </w:p>
        </w:tc>
        <w:tc>
          <w:tcPr>
            <w:vMerge w:val="continue"/>
            <w:tcBorders>
              <w:top w:val="none" w:color="FFFFFF" w:sz="0"/>
              <w:left w:val="none" w:color="FFFFFF" w:sz="0"/>
              <w:bottom w:val="none" w:color="FFFFFF" w:sz="0"/>
              <w:right w:val="none" w:color="FFFFFF" w:sz="0"/>
            </w:tcBorders>
          </w:tcPr>
          <w:p/>
        </w:tc>
        <w:tc>
          <w:tcPr>
            <w:vMerge w:val="continue"/>
            <w:tcBorders>
              <w:top w:val="none" w:color="FFFFFF" w:sz="0"/>
              <w:left w:val="none" w:color="FFFFFF" w:sz="0"/>
              <w:bottom w:val="none" w:color="FFFFFF" w:sz="0"/>
              <w:right w:val="none" w:color="FFFFFF" w:sz="0"/>
            </w:tcBorders>
          </w:tcPr>
          <w:p/>
        </w:tc>
        <w:tc>
          <w:tcPr>
            <w:vMerge w:val="continue"/>
            <w:tcBorders>
              <w:top w:val="none" w:color="FFFFFF" w:sz="0"/>
              <w:left w:val="none" w:color="FFFFFF" w:sz="0"/>
              <w:bottom w:val="none" w:color="FFFFFF" w:sz="0"/>
              <w:right w:val="none" w:color="FFFFFF" w:sz="0"/>
            </w:tcBorders>
          </w:tcPr>
          <w:p/>
        </w:tc>
      </w:tr>
      <w:tr>
        <w:trPr>
          <w:cantSplit/>
          <w:tblHeader w:val="false"/>
        </w:trPr>
        <w:tc>
          <w:tcPr>
            <w:tcW w:type="dxa" w:w="9026"/>
            <w:gridSpan w:val="6"/>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ind w:left="227"/>
              <w:jc w:val="left"/>
            </w:pPr>
            <w:r>
              <w:rPr>
                <w:rFonts w:ascii="TH SarabunPSK" w:cs="TH SarabunPSK" w:eastAsia="TH SarabunPSK" w:hAnsi="TH SarabunPSK"/>
                <w:b w:val="false"/>
                <w:i w:val="false"/>
                <w:sz w:val="28"/>
                <w:szCs w:val="28"/>
              </w:rPr>
              <w:t xml:space="preserve">ความรอบรู้ด้านสุขภาพ</w:t>
            </w:r>
          </w:p>
        </w:tc>
      </w:tr>
      <w:tr>
        <w:trPr>
          <w:cantSplit/>
          <w:tblHeader w:val="false"/>
        </w:trPr>
        <w:tc>
          <w:tcPr>
            <w:tcW w:type="dxa" w:w="3026"/>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ind w:left="454"/>
              <w:jc w:val="left"/>
            </w:pPr>
            <w:r>
              <w:rPr>
                <w:rFonts w:ascii="TH SarabunPSK" w:cs="TH SarabunPSK" w:eastAsia="TH SarabunPSK" w:hAnsi="TH SarabunPSK"/>
                <w:b w:val="false"/>
                <w:i w:val="false"/>
                <w:sz w:val="28"/>
                <w:szCs w:val="28"/>
              </w:rPr>
              <w:t xml:space="preserve">กลุ่มทดลอง</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46.40</w:t>
            </w:r>
          </w:p>
        </w:tc>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1856.00</w:t>
            </w:r>
          </w:p>
        </w:tc>
        <w:tc>
          <w:tcPr>
            <w:tcW w:type="dxa" w:w="1300"/>
            <w:vMerge w:val="restart"/>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564.00</w:t>
            </w:r>
          </w:p>
        </w:tc>
        <w:tc>
          <w:tcPr>
            <w:tcW w:type="dxa" w:w="1150"/>
            <w:vMerge w:val="restart"/>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-2.28</w:t>
            </w:r>
          </w:p>
        </w:tc>
        <w:tc>
          <w:tcPr>
            <w:tcW w:type="dxa" w:w="1150"/>
            <w:vMerge w:val="restart"/>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spacing w:after="0" w:before="0" w:line="240" w:lineRule="auto"/>
              <w:jc w:val="center"/>
            </w:pPr>
            <w:r>
              <w:rPr>
                <w:rFonts w:ascii="TH SarabunPSK" w:cs="TH SarabunPSK" w:eastAsia="TH SarabunPSK" w:hAnsi="TH SarabunPSK"/>
                <w:b w:val="false"/>
                <w:i w:val="false"/>
                <w:sz w:val="28"/>
                <w:szCs w:val="28"/>
              </w:rPr>
              <w:t xml:space="preserve">0.023*</w:t>
            </w:r>
          </w:p>
        </w:tc>
      </w:tr>
      <w:tr>
        <w:trPr>
          <w:cantSplit/>
          <w:tblHeader w:val="false"/>
        </w:trPr>
        <w:tc>
          <w:tcPr>
            <w:tcW w:type="dxa" w:w="3026"/>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val="false"/>
              <w:spacing w:after="0" w:before="0" w:line="240" w:lineRule="auto"/>
              <w:ind w:left="454"/>
              <w:jc w:val="left"/>
            </w:pPr>
            <w:r>
              <w:rPr>
                <w:rFonts w:ascii="TH SarabunPSK" w:cs="TH SarabunPSK" w:eastAsia="TH SarabunPSK" w:hAnsi="TH SarabunPSK"/>
                <w:b w:val="false"/>
                <w:i w:val="false"/>
                <w:sz w:val="28"/>
                <w:szCs w:val="28"/>
              </w:rPr>
              <w:t xml:space="preserve">กลุ่มเปรียบเทียบ</w:t>
            </w:r>
          </w:p>
        </w:tc>
        <w:tc>
          <w:tcPr>
            <w:tcW w:type="dxa" w:w="1200"/>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val="false"/>
              <w:spacing w:after="0" w:before="0" w:line="240" w:lineRule="auto"/>
              <w:jc w:val="center"/>
            </w:pPr>
            <w:r>
              <w:rPr>
                <w:rFonts w:ascii="TH SarabunPSK" w:cs="TH SarabunPSK" w:eastAsia="TH SarabunPSK" w:hAnsi="TH SarabunPSK"/>
                <w:b w:val="false"/>
                <w:i w:val="false"/>
                <w:sz w:val="28"/>
                <w:szCs w:val="28"/>
              </w:rPr>
              <w:t xml:space="preserve">34.60</w:t>
            </w:r>
          </w:p>
        </w:tc>
        <w:tc>
          <w:tcPr>
            <w:tcW w:type="dxa" w:w="1200"/>
            <w:tcBorders>
              <w:top w:val="none" w:color="FFFFFF" w:sz="0"/>
              <w:left w:val="none" w:color="FFFFFF" w:sz="0"/>
              <w:bottom w:val="single" w:color="000000" w:sz="8"/>
              <w:right w:val="none" w:color="FFFFFF" w:sz="0"/>
            </w:tcBorders>
            <w:tcMar>
              <w:top w:type="dxa" w:w="20"/>
              <w:left w:type="dxa" w:w="80"/>
              <w:bottom w:type="dxa" w:w="20"/>
              <w:right w:type="dxa" w:w="80"/>
            </w:tcMar>
            <w:vAlign w:val="center"/>
          </w:tcPr>
          <w:p>
            <w:pPr>
              <w:keepNext w:val="false"/>
              <w:spacing w:after="0" w:before="0" w:line="240" w:lineRule="auto"/>
              <w:jc w:val="center"/>
            </w:pPr>
            <w:r>
              <w:rPr>
                <w:rFonts w:ascii="TH SarabunPSK" w:cs="TH SarabunPSK" w:eastAsia="TH SarabunPSK" w:hAnsi="TH SarabunPSK"/>
                <w:b w:val="false"/>
                <w:i w:val="false"/>
                <w:sz w:val="28"/>
                <w:szCs w:val="28"/>
              </w:rPr>
              <w:t xml:space="preserve">1384.00</w:t>
            </w:r>
          </w:p>
        </w:tc>
        <w:tc>
          <w:tcPr>
            <w:vMerge w:val="continue"/>
            <w:tcBorders>
              <w:top w:val="none" w:color="FFFFFF" w:sz="0"/>
              <w:left w:val="none" w:color="FFFFFF" w:sz="0"/>
              <w:bottom w:val="single" w:color="000000" w:sz="8"/>
              <w:right w:val="none" w:color="FFFFFF" w:sz="0"/>
            </w:tcBorders>
          </w:tcPr>
          <w:p/>
        </w:tc>
        <w:tc>
          <w:tcPr>
            <w:vMerge w:val="continue"/>
            <w:tcBorders>
              <w:top w:val="none" w:color="FFFFFF" w:sz="0"/>
              <w:left w:val="none" w:color="FFFFFF" w:sz="0"/>
              <w:bottom w:val="single" w:color="000000" w:sz="8"/>
              <w:right w:val="none" w:color="FFFFFF" w:sz="0"/>
            </w:tcBorders>
          </w:tcPr>
          <w:p/>
        </w:tc>
        <w:tc>
          <w:tcPr>
            <w:vMerge w:val="continue"/>
            <w:tcBorders>
              <w:top w:val="none" w:color="FFFFFF" w:sz="0"/>
              <w:left w:val="none" w:color="FFFFFF" w:sz="0"/>
              <w:bottom w:val="single" w:color="000000" w:sz="8"/>
              <w:right w:val="none" w:color="FFFFFF" w:sz="0"/>
            </w:tcBorders>
          </w:tcPr>
          <w:p/>
        </w:tc>
      </w:tr>
    </w:tbl>
    <w:p>
      <w:pPr>
        <w:spacing w:after="0" w:before="0" w:line="240" w:lineRule="auto"/>
        <w:ind w:firstLine="0"/>
        <w:jc w:val="left"/>
      </w:pPr>
      <w:r>
        <w:rPr>
          <w:rFonts w:ascii="TH SarabunPSK" w:cs="TH SarabunPSK" w:eastAsia="TH SarabunPSK" w:hAnsi="TH SarabunPSK"/>
          <w:b w:val="false"/>
          <w:i w:val="false"/>
          <w:sz w:val="28"/>
          <w:szCs w:val="28"/>
        </w:rPr>
        <w:t xml:space="preserve">* p-value &lt; 0.05, *** p-value &lt; 0.001</w:t>
      </w:r>
    </w:p>
    <w:p>
      <w:pPr>
        <w:spacing w:after="0" w:before="0" w:line="240" w:lineRule="auto"/>
      </w:pPr>
      <w:r>
        <w:rPr>
          <w:rFonts w:ascii="TH SarabunPSK" w:cs="TH SarabunPSK" w:eastAsia="TH SarabunPSK" w:hAnsi="TH SarabunPSK"/>
          <w:sz w:val="32"/>
          <w:szCs w:val="32"/>
        </w:rPr>
        <w:t xml:space="preserve"/>
      </w:r>
    </w:p>
    <w:p>
      <w:pPr>
        <w:keepNext/>
        <w:spacing w:after="0" w:before="0" w:line="240" w:lineRule="auto"/>
        <w:ind w:firstLine="0"/>
        <w:jc w:val="left"/>
      </w:pPr>
      <w:r>
        <w:rPr>
          <w:rFonts w:ascii="TH SarabunPSK" w:cs="TH SarabunPSK" w:eastAsia="TH SarabunPSK" w:hAnsi="TH SarabunPSK"/>
          <w:b/>
          <w:bCs/>
          <w:i w:val="false"/>
          <w:sz w:val="32"/>
          <w:szCs w:val="32"/>
        </w:rPr>
        <w:t xml:space="preserve">อภิปรายผล</w:t>
      </w:r>
    </w:p>
    <w:p>
      <w:pPr>
        <w:spacing w:after="0" w:before="0" w:line="240" w:lineRule="auto"/>
        <w:ind w:firstLine="709"/>
        <w:jc w:val="thaiDistribute"/>
      </w:pPr>
      <w:r>
        <w:rPr>
          <w:rFonts w:ascii="TH SarabunPSK" w:cs="TH SarabunPSK" w:eastAsia="TH SarabunPSK" w:hAnsi="TH SarabunPSK"/>
          <w:b w:val="false"/>
          <w:i w:val="false"/>
          <w:sz w:val="32"/>
          <w:szCs w:val="32"/>
        </w:rPr>
        <w:t xml:space="preserve">ผลการวิจัยพบว่า กลุ่มทดลองมีคะแนนแบบแผนความเชื่อด้านสุขภาพหลังเข้าร่วมรูปแบบสูงกว่าก่อนเข้าร่วมอย่างมีนัยสำคัญทางสถิติ (p = 0.029) แสดงว่ากิจกรรมการตระหนักรู้ความเสี่ยง การวิเคราะห์ประโยชน์และอุปสรรค การตั้งเป้าหมายสุขภาพรายครัวเรือน และการติดตามรายสัปดาห์ ช่วยให้แกนนำครอบครัวปรับความเชื่อด้านสุขภาพได้จริง สอดคล้องกับแนวคิดของ Rosenstock (1974) ที่อธิบายว่า เมื่อบุคคลรับรู้โอกาสเสี่ยงและความรุนแรงของโรค ตระหนักถึงประโยชน์ของการปฏิบัติ และมองเห็นหนทางลดอุปสรรค จะเกิดแรงจูงใจภายในที่ผลักดันให้ปรับเปลี่ยนพฤติกรรมสุขภาพ และแนวคิดของ Becker (1974) ที่ระบุว่าการให้ข้อมูลย้อนกลับ การสร้างแรงสนับสนุนทางสังคม และการมีส่วนร่วมในการกำหนดเป้าหมาย ช่วยลดอุปสรรคและเพิ่มแรงจูงใจให้บุคคลเปลี่ยนพฤติกรรมสุขภาพได้ง่ายขึ้น</w:t>
      </w:r>
    </w:p>
    <w:p>
      <w:pPr>
        <w:spacing w:after="0" w:before="0" w:line="240" w:lineRule="auto"/>
        <w:ind w:firstLine="709"/>
        <w:jc w:val="thaiDistribute"/>
      </w:pPr>
      <w:r>
        <w:rPr>
          <w:rFonts w:ascii="TH SarabunPSK" w:cs="TH SarabunPSK" w:eastAsia="TH SarabunPSK" w:hAnsi="TH SarabunPSK"/>
          <w:b w:val="false"/>
          <w:i w:val="false"/>
          <w:sz w:val="32"/>
          <w:szCs w:val="32"/>
        </w:rPr>
        <w:t xml:space="preserve">เมื่อเปรียบเทียบระหว่างกลุ่มหลังสิ้นสุดรูปแบบ พบว่ากลุ่มทดลองมีคะแนนแบบแผนความเชื่อด้านสุขภาพ (p &lt; 0.001) และความรอบรู้ด้านสุขภาพ (p = 0.023) สูงกว่ากลุ่มเปรียบเทียบอย่างมีนัยสำคัญทางสถิติ สะท้อนว่ารูปแบบที่บูรณาการทฤษฎีแบบแผนความเชื่อด้านสุขภาพเข้ากับกรอบ V-shape ของกรมอนามัย (สำนักส่งเสริมสุขภาพ, 2565) มีประสิทธิผลในการเสริมทักษะการแสวงหา ประเมิน และใช้ข้อมูลสุขภาพของแกนนำครอบครัว ผ่านการฝึกเข้าถึงแหล่งข้อมูลที่น่าเชื่อถือ การวิเคราะห์ข่าวจริง–ข่าวลวง และการบอกต่อในชุมชน สอดคล้องกับการศึกษาของ Wongkongdech et al. (2024) และ Patchasuwan et al. (2022) ที่พบว่าการส่งเสริมความรอบรู้ด้านสุขภาพแบบมีส่วนร่วมช่วยพัฒนาความรอบรู้และพฤติกรรมสุขภาพของกลุ่มเป้าหมายได้ และการทบทวนวรรณกรรมของ Marshall et al. (2025) ที่พบว่าโปรแกรมที่มุ่งพัฒนาทักษะรายบุคคลสัมพันธ์กับความสามารถในการเข้าใจและใช้ข้อมูลสุขภาพที่ดีขึ้น เช่นเดียวกับแนวคิดของ Nutbeam (2008) ที่อธิบายว่าการพัฒนาความรอบรู้ด้านสุขภาพเป็นกระบวนการเรียนรู้เชิงปฏิบัติที่ต้องอาศัยการมีส่วนร่วมและการเสริมแรงทางสังคม</w:t>
      </w:r>
    </w:p>
    <w:p>
      <w:pPr>
        <w:spacing w:after="0" w:before="0" w:line="240" w:lineRule="auto"/>
        <w:ind w:firstLine="709"/>
        <w:jc w:val="thaiDistribute"/>
      </w:pPr>
      <w:r>
        <w:rPr>
          <w:rFonts w:ascii="TH SarabunPSK" w:cs="TH SarabunPSK" w:eastAsia="TH SarabunPSK" w:hAnsi="TH SarabunPSK"/>
          <w:b w:val="false"/>
          <w:i w:val="false"/>
          <w:sz w:val="32"/>
          <w:szCs w:val="32"/>
        </w:rPr>
        <w:t xml:space="preserve">อย่างไรก็ตาม คะแนนความรอบรู้ด้านสุขภาพภายในกลุ่มทดลองเพิ่มขึ้นแต่ไม่ถึงระดับนัยสำคัญทางสถิติ (p = 0.323) อาจเนื่องจากระยะเวลาการทดลองเพียง 12 สัปดาห์ยังไม่เพียงพอต่อการพัฒนาทักษะในระดับลึก โดยเฉพาะขั้นการประเมินและการประยุกต์ใช้ที่ต้องอาศัยการฝึกฝนต่อเนื่องในชีวิตประจำวัน ประกอบกับแกนนำครอบครัวมีความรอบรู้ด้านสุขภาพในระดับมากอยู่แล้วก่อนเริ่มโปรแกรม (</w:t>
      </w:r>
      <w:r>
        <w:rPr>
          <w:rFonts w:ascii="TH SarabunPSK" w:cs="TH SarabunPSK" w:eastAsia="TH SarabunPSK" w:hAnsi="TH SarabunPSK"/>
          <w:b w:val="false"/>
          <w:i/>
          <w:iCs/>
          <w:sz w:val="32"/>
          <w:szCs w:val="32"/>
        </w:rPr>
        <w:t xml:space="preserve">M</w:t>
      </w:r>
      <w:r>
        <w:rPr>
          <w:rFonts w:ascii="TH SarabunPSK" w:cs="TH SarabunPSK" w:eastAsia="TH SarabunPSK" w:hAnsi="TH SarabunPSK"/>
          <w:b w:val="false"/>
          <w:i w:val="false"/>
          <w:sz w:val="32"/>
          <w:szCs w:val="32"/>
        </w:rPr>
        <w:t xml:space="preserve"> = 0.93) ทำให้คะแนนเพิ่มขึ้นได้ไม่มาก สอดคล้องกับ World Health Organization (2021) ที่ระบุว่าการพัฒนาความรอบรู้ด้านสุขภาพต้องอาศัยการเรียนรู้แบบมีส่วนร่วมและการติดตามอย่างต่อเนื่องในชุมชน</w:t>
      </w:r>
    </w:p>
    <w:p>
      <w:pPr>
        <w:spacing w:after="0" w:before="0" w:line="240" w:lineRule="auto"/>
      </w:pPr>
      <w:r>
        <w:rPr>
          <w:rFonts w:ascii="TH SarabunPSK" w:cs="TH SarabunPSK" w:eastAsia="TH SarabunPSK" w:hAnsi="TH SarabunPSK"/>
          <w:sz w:val="32"/>
          <w:szCs w:val="32"/>
        </w:rPr>
        <w:t xml:space="preserve"/>
      </w:r>
    </w:p>
    <w:p>
      <w:pPr>
        <w:keepNext/>
        <w:spacing w:after="0" w:before="0" w:line="240" w:lineRule="auto"/>
        <w:ind w:firstLine="0"/>
        <w:jc w:val="left"/>
      </w:pPr>
      <w:r>
        <w:rPr>
          <w:rFonts w:ascii="TH SarabunPSK" w:cs="TH SarabunPSK" w:eastAsia="TH SarabunPSK" w:hAnsi="TH SarabunPSK"/>
          <w:b/>
          <w:bCs/>
          <w:i w:val="false"/>
          <w:sz w:val="32"/>
          <w:szCs w:val="32"/>
        </w:rPr>
        <w:t xml:space="preserve">ข้อเสนอแนะในการนำผลการวิจัยไปใช้</w:t>
      </w:r>
    </w:p>
    <w:p>
      <w:pPr>
        <w:spacing w:after="0" w:before="0" w:line="240" w:lineRule="auto"/>
        <w:ind w:firstLine="709"/>
        <w:jc w:val="thaiDistribute"/>
      </w:pPr>
      <w:r>
        <w:rPr>
          <w:rFonts w:ascii="TH SarabunPSK" w:cs="TH SarabunPSK" w:eastAsia="TH SarabunPSK" w:hAnsi="TH SarabunPSK"/>
          <w:b w:val="false"/>
          <w:i w:val="false"/>
          <w:sz w:val="32"/>
          <w:szCs w:val="32"/>
        </w:rPr>
        <w:t xml:space="preserve">1) หน่วยงานสาธารณสุขในเขตสุขภาพที่ 2 ควรนำรูปแบบการยกระดับครอบครัว ชุมชนรอบรู้สุขภาพภายใต้วิถีชีวิตปกติใหม่ ไปขยายผลในการพัฒนาศักยภาพแกนนำสุขภาพชุมชนโดยอิงกรอบความรอบรู้ด้านสุขภาพ และสนับสนุนกองทุนสุขภาพชุมชนระดับตำบลเพื่อให้เกิดกิจกรรมอย่างต่อเนื่อง</w:t>
      </w:r>
    </w:p>
    <w:p>
      <w:pPr>
        <w:spacing w:after="0" w:before="0" w:line="240" w:lineRule="auto"/>
        <w:ind w:firstLine="709"/>
        <w:jc w:val="thaiDistribute"/>
      </w:pPr>
      <w:r>
        <w:rPr>
          <w:rFonts w:ascii="TH SarabunPSK" w:cs="TH SarabunPSK" w:eastAsia="TH SarabunPSK" w:hAnsi="TH SarabunPSK"/>
          <w:b w:val="false"/>
          <w:i w:val="false"/>
          <w:sz w:val="32"/>
          <w:szCs w:val="32"/>
        </w:rPr>
        <w:t xml:space="preserve">2) ควรพัฒนาโมดูลฝึกอบรมที่เน้นการสร้างการรับรู้ความสามารถของตนเอง (Self-efficacy) ผ่านกิจกรรมเชิงปฏิบัติ ร่วมกับระบบเพื่อนช่วยเพื่อน (Peer Support System) ให้แกนนำแลกเปลี่ยนเรียนรู้ระหว่างกันได้ต่อเนื่อง</w:t>
      </w:r>
    </w:p>
    <w:p>
      <w:pPr>
        <w:spacing w:after="0" w:before="0" w:line="240" w:lineRule="auto"/>
        <w:ind w:firstLine="709"/>
        <w:jc w:val="thaiDistribute"/>
      </w:pPr>
      <w:r>
        <w:rPr>
          <w:rFonts w:ascii="TH SarabunPSK" w:cs="TH SarabunPSK" w:eastAsia="TH SarabunPSK" w:hAnsi="TH SarabunPSK"/>
          <w:b w:val="false"/>
          <w:i w:val="false"/>
          <w:sz w:val="32"/>
          <w:szCs w:val="32"/>
        </w:rPr>
        <w:t xml:space="preserve">3) ควรปรับปรุงแพลตฟอร์มสุขภาพดิจิทัลให้ใช้งานง่ายเหมาะกับทุกกลุ่มวัย และจัดทำคู่มือการใช้งานแบบเป็นขั้นตอนสำหรับผู้ที่มีทักษะดิจิทัลน้อย</w:t>
      </w:r>
    </w:p>
    <w:p>
      <w:pPr>
        <w:spacing w:after="0" w:before="0" w:line="240" w:lineRule="auto"/>
      </w:pPr>
      <w:r>
        <w:rPr>
          <w:rFonts w:ascii="TH SarabunPSK" w:cs="TH SarabunPSK" w:eastAsia="TH SarabunPSK" w:hAnsi="TH SarabunPSK"/>
          <w:sz w:val="32"/>
          <w:szCs w:val="32"/>
        </w:rPr>
        <w:t xml:space="preserve"/>
      </w:r>
    </w:p>
    <w:p>
      <w:pPr>
        <w:keepNext/>
        <w:spacing w:after="0" w:before="0" w:line="240" w:lineRule="auto"/>
        <w:ind w:firstLine="0"/>
        <w:jc w:val="left"/>
      </w:pPr>
      <w:r>
        <w:rPr>
          <w:rFonts w:ascii="TH SarabunPSK" w:cs="TH SarabunPSK" w:eastAsia="TH SarabunPSK" w:hAnsi="TH SarabunPSK"/>
          <w:b/>
          <w:bCs/>
          <w:i w:val="false"/>
          <w:sz w:val="32"/>
          <w:szCs w:val="32"/>
        </w:rPr>
        <w:t xml:space="preserve">ข้อเสนอแนะในการวิจัยครั้งต่อไป</w:t>
      </w:r>
    </w:p>
    <w:p>
      <w:pPr>
        <w:spacing w:after="0" w:before="0" w:line="240" w:lineRule="auto"/>
        <w:ind w:firstLine="709"/>
        <w:jc w:val="thaiDistribute"/>
      </w:pPr>
      <w:r>
        <w:rPr>
          <w:rFonts w:ascii="TH SarabunPSK" w:cs="TH SarabunPSK" w:eastAsia="TH SarabunPSK" w:hAnsi="TH SarabunPSK"/>
          <w:b w:val="false"/>
          <w:i w:val="false"/>
          <w:sz w:val="32"/>
          <w:szCs w:val="32"/>
        </w:rPr>
        <w:t xml:space="preserve">1) ควรติดตามผลในระยะยาว 6 เดือนถึง 1 ปี เพื่อประเมินความคงอยู่ของความเชื่อ ความรอบรู้ และพฤติกรรมสุขภาพ</w:t>
      </w:r>
    </w:p>
    <w:p>
      <w:pPr>
        <w:spacing w:after="0" w:before="0" w:line="240" w:lineRule="auto"/>
        <w:ind w:firstLine="709"/>
        <w:jc w:val="thaiDistribute"/>
      </w:pPr>
      <w:r>
        <w:rPr>
          <w:rFonts w:ascii="TH SarabunPSK" w:cs="TH SarabunPSK" w:eastAsia="TH SarabunPSK" w:hAnsi="TH SarabunPSK"/>
          <w:b w:val="false"/>
          <w:i w:val="false"/>
          <w:sz w:val="32"/>
          <w:szCs w:val="32"/>
        </w:rPr>
        <w:t xml:space="preserve">2) ควรขยายกลุ่มตัวอย่างไปยังพื้นที่ชนบทและเขตเมือง เพื่อเปรียบเทียบผลลัพธ์ตามบริบททางสังคม</w:t>
      </w:r>
    </w:p>
    <w:p>
      <w:pPr>
        <w:spacing w:after="0" w:before="0" w:line="240" w:lineRule="auto"/>
        <w:ind w:firstLine="709"/>
        <w:jc w:val="thaiDistribute"/>
      </w:pPr>
      <w:r>
        <w:rPr>
          <w:rFonts w:ascii="TH SarabunPSK" w:cs="TH SarabunPSK" w:eastAsia="TH SarabunPSK" w:hAnsi="TH SarabunPSK"/>
          <w:b w:val="false"/>
          <w:i w:val="false"/>
          <w:sz w:val="32"/>
          <w:szCs w:val="32"/>
        </w:rPr>
        <w:t xml:space="preserve">3) ควรศึกษารูปแบบการพัฒนาแบบแผนความเชื่อด้านสุขภาพ ความรอบรู้ด้านสุขภาพ และการเสริมสร้างพลังอำนาจทางสุขภาพ (Health Empowerment) ต่อพฤติกรรมการส่งเสริมสุขภาพและพฤติกรรมการป้องกันโรคของแกนนำครอบครัว</w:t>
      </w:r>
    </w:p>
    <w:p>
      <w:pPr>
        <w:spacing w:after="0" w:before="0" w:line="240" w:lineRule="auto"/>
      </w:pPr>
      <w:r>
        <w:rPr>
          <w:rFonts w:ascii="TH SarabunPSK" w:cs="TH SarabunPSK" w:eastAsia="TH SarabunPSK" w:hAnsi="TH SarabunPSK"/>
          <w:sz w:val="32"/>
          <w:szCs w:val="32"/>
        </w:rPr>
        <w:t xml:space="preserve"/>
      </w:r>
    </w:p>
    <w:p>
      <w:pPr>
        <w:keepNext/>
        <w:spacing w:after="0" w:before="0" w:line="240" w:lineRule="auto"/>
        <w:ind w:firstLine="0"/>
        <w:jc w:val="left"/>
      </w:pPr>
      <w:r>
        <w:rPr>
          <w:rFonts w:ascii="TH SarabunPSK" w:cs="TH SarabunPSK" w:eastAsia="TH SarabunPSK" w:hAnsi="TH SarabunPSK"/>
          <w:b/>
          <w:bCs/>
          <w:i w:val="false"/>
          <w:sz w:val="32"/>
          <w:szCs w:val="32"/>
        </w:rPr>
        <w:t xml:space="preserve">รายการอ้างอิง</w:t>
      </w:r>
    </w:p>
    <w:p>
      <w:pPr>
        <w:spacing w:after="0" w:before="0" w:line="240" w:lineRule="auto"/>
        <w:ind w:left="709" w:hanging="709"/>
        <w:jc w:val="left"/>
      </w:pPr>
      <w:r>
        <w:rPr>
          <w:rFonts w:ascii="TH SarabunPSK" w:cs="TH SarabunPSK" w:eastAsia="TH SarabunPSK" w:hAnsi="TH SarabunPSK"/>
          <w:b w:val="false"/>
          <w:i w:val="false"/>
          <w:sz w:val="32"/>
          <w:szCs w:val="32"/>
        </w:rPr>
        <w:t xml:space="preserve">กรมอนามัย. (2560). </w:t>
      </w:r>
      <w:r>
        <w:rPr>
          <w:rFonts w:ascii="TH SarabunPSK" w:cs="TH SarabunPSK" w:eastAsia="TH SarabunPSK" w:hAnsi="TH SarabunPSK"/>
          <w:b w:val="false"/>
          <w:i/>
          <w:iCs/>
          <w:sz w:val="32"/>
          <w:szCs w:val="32"/>
        </w:rPr>
        <w:t xml:space="preserve">การขับเคลื่อนความรอบรู้ด้านสุขภาพและการสื่อสารสุขภาพ</w:t>
      </w:r>
      <w:r>
        <w:rPr>
          <w:rFonts w:ascii="TH SarabunPSK" w:cs="TH SarabunPSK" w:eastAsia="TH SarabunPSK" w:hAnsi="TH SarabunPSK"/>
          <w:b w:val="false"/>
          <w:i w:val="false"/>
          <w:sz w:val="32"/>
          <w:szCs w:val="32"/>
        </w:rPr>
        <w:t xml:space="preserve">. https://doh.hpc.go.th/data/HL/HL_DOH_drive.pdf</w:t>
      </w:r>
    </w:p>
    <w:p>
      <w:pPr>
        <w:spacing w:after="0" w:before="0" w:line="240" w:lineRule="auto"/>
        <w:ind w:left="709" w:hanging="709"/>
        <w:jc w:val="left"/>
      </w:pPr>
      <w:r>
        <w:rPr>
          <w:rFonts w:ascii="TH SarabunPSK" w:cs="TH SarabunPSK" w:eastAsia="TH SarabunPSK" w:hAnsi="TH SarabunPSK"/>
          <w:b w:val="false"/>
          <w:i w:val="false"/>
          <w:sz w:val="32"/>
          <w:szCs w:val="32"/>
        </w:rPr>
        <w:t xml:space="preserve">นงลักษณ์ วิรัชชัย. (2555). </w:t>
      </w:r>
      <w:r>
        <w:rPr>
          <w:rFonts w:ascii="TH SarabunPSK" w:cs="TH SarabunPSK" w:eastAsia="TH SarabunPSK" w:hAnsi="TH SarabunPSK"/>
          <w:b w:val="false"/>
          <w:i/>
          <w:iCs/>
          <w:sz w:val="32"/>
          <w:szCs w:val="32"/>
        </w:rPr>
        <w:t xml:space="preserve">การกำหนดขนาดตัวอย่างในการทดสอบสมมุติฐานวิจัย</w:t>
      </w:r>
      <w:r>
        <w:rPr>
          <w:rFonts w:ascii="TH SarabunPSK" w:cs="TH SarabunPSK" w:eastAsia="TH SarabunPSK" w:hAnsi="TH SarabunPSK"/>
          <w:b w:val="false"/>
          <w:i w:val="false"/>
          <w:sz w:val="32"/>
          <w:szCs w:val="32"/>
        </w:rPr>
        <w:t xml:space="preserve"> [เอกสารประกอบการบรรยาย]. โครงการ Research Zone ศูนย์การเรียนรู้ทางการวิจัย สำนักงานคณะกรรมการวิจัยแห่งชาติ. https://lllskill.com/web/files/GPower.pdf</w:t>
      </w:r>
    </w:p>
    <w:p>
      <w:pPr>
        <w:spacing w:after="0" w:before="0" w:line="240" w:lineRule="auto"/>
        <w:ind w:left="709" w:hanging="709"/>
        <w:jc w:val="left"/>
      </w:pPr>
      <w:r>
        <w:rPr>
          <w:rFonts w:ascii="TH SarabunPSK" w:cs="TH SarabunPSK" w:eastAsia="TH SarabunPSK" w:hAnsi="TH SarabunPSK"/>
          <w:b w:val="false"/>
          <w:i w:val="false"/>
          <w:sz w:val="32"/>
          <w:szCs w:val="32"/>
        </w:rPr>
        <w:t xml:space="preserve">วชิระ เพ็งจันทร์. (2560). </w:t>
      </w:r>
      <w:r>
        <w:rPr>
          <w:rFonts w:ascii="TH SarabunPSK" w:cs="TH SarabunPSK" w:eastAsia="TH SarabunPSK" w:hAnsi="TH SarabunPSK"/>
          <w:b w:val="false"/>
          <w:i/>
          <w:iCs/>
          <w:sz w:val="32"/>
          <w:szCs w:val="32"/>
        </w:rPr>
        <w:t xml:space="preserve">ความรอบรู้ด้านสุขภาพ</w:t>
      </w:r>
      <w:r>
        <w:rPr>
          <w:rFonts w:ascii="TH SarabunPSK" w:cs="TH SarabunPSK" w:eastAsia="TH SarabunPSK" w:hAnsi="TH SarabunPSK"/>
          <w:b w:val="false"/>
          <w:i w:val="false"/>
          <w:sz w:val="32"/>
          <w:szCs w:val="32"/>
        </w:rPr>
        <w:t xml:space="preserve">. เอกสารประกอบการประชุมเชิงปฏิบัติการพัฒนาศักยภาพบุคลากรกรมอนามัย เรื่อง ความรอบรู้สุขภาพมุ่งสู่ประเทศไทย. กรมอนามัย กระทรวงสาธารณสุข.</w:t>
      </w:r>
    </w:p>
    <w:p>
      <w:pPr>
        <w:spacing w:after="0" w:before="0" w:line="240" w:lineRule="auto"/>
        <w:ind w:left="709" w:hanging="709"/>
        <w:jc w:val="left"/>
      </w:pPr>
      <w:r>
        <w:rPr>
          <w:rFonts w:ascii="TH SarabunPSK" w:cs="TH SarabunPSK" w:eastAsia="TH SarabunPSK" w:hAnsi="TH SarabunPSK"/>
          <w:b w:val="false"/>
          <w:i w:val="false"/>
          <w:sz w:val="32"/>
          <w:szCs w:val="32"/>
        </w:rPr>
        <w:t xml:space="preserve">สถาบันวิจัยระบบสาธารณสุข. (2567). </w:t>
      </w:r>
      <w:r>
        <w:rPr>
          <w:rFonts w:ascii="TH SarabunPSK" w:cs="TH SarabunPSK" w:eastAsia="TH SarabunPSK" w:hAnsi="TH SarabunPSK"/>
          <w:b w:val="false"/>
          <w:i/>
          <w:iCs/>
          <w:sz w:val="32"/>
          <w:szCs w:val="32"/>
        </w:rPr>
        <w:t xml:space="preserve">การสำรวจความรอบรู้ด้านสุขภาพของประชาชนไทย อายุ 15 ปีขึ้นไป พ.ศ. 2566 (ครั้งที่ 2): การส่งเสริมความรอบรู้ด้านสุขภาพในประเทศไทย การประเมินสถานการณ์ปัจจุบัน ปัจจัยกำหนด และข้อเสนอเชิงนโยบาย</w:t>
      </w:r>
      <w:r>
        <w:rPr>
          <w:rFonts w:ascii="TH SarabunPSK" w:cs="TH SarabunPSK" w:eastAsia="TH SarabunPSK" w:hAnsi="TH SarabunPSK"/>
          <w:b w:val="false"/>
          <w:i w:val="false"/>
          <w:sz w:val="32"/>
          <w:szCs w:val="32"/>
        </w:rPr>
        <w:t xml:space="preserve">. https://kb.hsri.or.th/dspace/handle/11228/6197</w:t>
      </w:r>
    </w:p>
    <w:p>
      <w:pPr>
        <w:spacing w:after="0" w:before="0" w:line="240" w:lineRule="auto"/>
        <w:ind w:left="709" w:hanging="709"/>
        <w:jc w:val="left"/>
      </w:pPr>
      <w:r>
        <w:rPr>
          <w:rFonts w:ascii="TH SarabunPSK" w:cs="TH SarabunPSK" w:eastAsia="TH SarabunPSK" w:hAnsi="TH SarabunPSK"/>
          <w:b w:val="false"/>
          <w:i w:val="false"/>
          <w:sz w:val="32"/>
          <w:szCs w:val="32"/>
        </w:rPr>
        <w:t xml:space="preserve">สำนักส่งเสริมสุขภาพ. (2565). </w:t>
      </w:r>
      <w:r>
        <w:rPr>
          <w:rFonts w:ascii="TH SarabunPSK" w:cs="TH SarabunPSK" w:eastAsia="TH SarabunPSK" w:hAnsi="TH SarabunPSK"/>
          <w:b w:val="false"/>
          <w:i/>
          <w:iCs/>
          <w:sz w:val="32"/>
          <w:szCs w:val="32"/>
        </w:rPr>
        <w:t xml:space="preserve">ชุดความรู้แนวทางการสร้างพลังครอบครัว ชุมชนรอบรู้สุขภาพภายใต้วิถีชีวิตปกติใหม่</w:t>
      </w:r>
      <w:r>
        <w:rPr>
          <w:rFonts w:ascii="TH SarabunPSK" w:cs="TH SarabunPSK" w:eastAsia="TH SarabunPSK" w:hAnsi="TH SarabunPSK"/>
          <w:b w:val="false"/>
          <w:i w:val="false"/>
          <w:sz w:val="32"/>
          <w:szCs w:val="32"/>
        </w:rPr>
        <w:t xml:space="preserve">. กรมอนามัย กระทรวงสาธารณสุข.</w:t>
      </w:r>
    </w:p>
    <w:p>
      <w:pPr>
        <w:spacing w:after="0" w:before="0" w:line="240" w:lineRule="auto"/>
        <w:ind w:left="709" w:hanging="709"/>
        <w:jc w:val="left"/>
      </w:pPr>
      <w:r>
        <w:rPr>
          <w:rFonts w:ascii="TH SarabunPSK" w:cs="TH SarabunPSK" w:eastAsia="TH SarabunPSK" w:hAnsi="TH SarabunPSK"/>
          <w:b w:val="false"/>
          <w:i w:val="false"/>
          <w:sz w:val="32"/>
          <w:szCs w:val="32"/>
        </w:rPr>
        <w:t xml:space="preserve">Becker, M. H. (1974). The health belief model and personal health behavior. </w:t>
      </w:r>
      <w:r>
        <w:rPr>
          <w:rFonts w:ascii="TH SarabunPSK" w:cs="TH SarabunPSK" w:eastAsia="TH SarabunPSK" w:hAnsi="TH SarabunPSK"/>
          <w:b w:val="false"/>
          <w:i/>
          <w:iCs/>
          <w:sz w:val="32"/>
          <w:szCs w:val="32"/>
        </w:rPr>
        <w:t xml:space="preserve">Health Education Monographs, 2</w:t>
      </w:r>
      <w:r>
        <w:rPr>
          <w:rFonts w:ascii="TH SarabunPSK" w:cs="TH SarabunPSK" w:eastAsia="TH SarabunPSK" w:hAnsi="TH SarabunPSK"/>
          <w:b w:val="false"/>
          <w:i w:val="false"/>
          <w:sz w:val="32"/>
          <w:szCs w:val="32"/>
        </w:rPr>
        <w:t xml:space="preserve">(4), 324–473.</w:t>
      </w:r>
    </w:p>
    <w:p>
      <w:pPr>
        <w:spacing w:after="0" w:before="0" w:line="240" w:lineRule="auto"/>
        <w:ind w:left="709" w:hanging="709"/>
        <w:jc w:val="left"/>
      </w:pPr>
      <w:r>
        <w:rPr>
          <w:rFonts w:ascii="TH SarabunPSK" w:cs="TH SarabunPSK" w:eastAsia="TH SarabunPSK" w:hAnsi="TH SarabunPSK"/>
          <w:b w:val="false"/>
          <w:i w:val="false"/>
          <w:sz w:val="32"/>
          <w:szCs w:val="32"/>
        </w:rPr>
        <w:t xml:space="preserve">Faul, F., Erdfelder, E., Buchner, A., &amp; Lang, A.-G. (2009). Statistical power analyses using G*Power 3.1: Tests for correlation and regression analyses. </w:t>
      </w:r>
      <w:r>
        <w:rPr>
          <w:rFonts w:ascii="TH SarabunPSK" w:cs="TH SarabunPSK" w:eastAsia="TH SarabunPSK" w:hAnsi="TH SarabunPSK"/>
          <w:b w:val="false"/>
          <w:i/>
          <w:iCs/>
          <w:sz w:val="32"/>
          <w:szCs w:val="32"/>
        </w:rPr>
        <w:t xml:space="preserve">Behavior Research Methods, 41</w:t>
      </w:r>
      <w:r>
        <w:rPr>
          <w:rFonts w:ascii="TH SarabunPSK" w:cs="TH SarabunPSK" w:eastAsia="TH SarabunPSK" w:hAnsi="TH SarabunPSK"/>
          <w:b w:val="false"/>
          <w:i w:val="false"/>
          <w:sz w:val="32"/>
          <w:szCs w:val="32"/>
        </w:rPr>
        <w:t xml:space="preserve">(4), 1149–1160. https://doi.org/10.3758/BRM.41.4.1149</w:t>
      </w:r>
    </w:p>
    <w:p>
      <w:pPr>
        <w:spacing w:after="0" w:before="0" w:line="240" w:lineRule="auto"/>
        <w:ind w:left="709" w:hanging="709"/>
        <w:jc w:val="left"/>
      </w:pPr>
      <w:r>
        <w:rPr>
          <w:rFonts w:ascii="TH SarabunPSK" w:cs="TH SarabunPSK" w:eastAsia="TH SarabunPSK" w:hAnsi="TH SarabunPSK"/>
          <w:b w:val="false"/>
          <w:i w:val="false"/>
          <w:sz w:val="32"/>
          <w:szCs w:val="32"/>
        </w:rPr>
        <w:t xml:space="preserve">Faul, F., Erdfelder, E., Lang, A.-G., &amp; Buchner, A. (2007). G*Power 3: A flexible statistical power analysis program for the social, behavioral, and biomedical sciences. </w:t>
      </w:r>
      <w:r>
        <w:rPr>
          <w:rFonts w:ascii="TH SarabunPSK" w:cs="TH SarabunPSK" w:eastAsia="TH SarabunPSK" w:hAnsi="TH SarabunPSK"/>
          <w:b w:val="false"/>
          <w:i/>
          <w:iCs/>
          <w:sz w:val="32"/>
          <w:szCs w:val="32"/>
        </w:rPr>
        <w:t xml:space="preserve">Behavior Research Methods, 39</w:t>
      </w:r>
      <w:r>
        <w:rPr>
          <w:rFonts w:ascii="TH SarabunPSK" w:cs="TH SarabunPSK" w:eastAsia="TH SarabunPSK" w:hAnsi="TH SarabunPSK"/>
          <w:b w:val="false"/>
          <w:i w:val="false"/>
          <w:sz w:val="32"/>
          <w:szCs w:val="32"/>
        </w:rPr>
        <w:t xml:space="preserve">(2), 175–191. https://doi.org/10.3758/BF03193146</w:t>
      </w:r>
    </w:p>
    <w:p>
      <w:pPr>
        <w:spacing w:after="0" w:before="0" w:line="240" w:lineRule="auto"/>
        <w:ind w:left="709" w:hanging="709"/>
        <w:jc w:val="left"/>
      </w:pPr>
      <w:r>
        <w:rPr>
          <w:rFonts w:ascii="TH SarabunPSK" w:cs="TH SarabunPSK" w:eastAsia="TH SarabunPSK" w:hAnsi="TH SarabunPSK"/>
          <w:b w:val="false"/>
          <w:i w:val="false"/>
          <w:sz w:val="32"/>
          <w:szCs w:val="32"/>
        </w:rPr>
        <w:t xml:space="preserve">Marshall, N., Butler, M., Lambert, V., Timon, C. M., Joyce, D., &amp; Warters, A. (2025). Health literacy interventions and health literacy-related outcomes for older adults: A systematic review. </w:t>
      </w:r>
      <w:r>
        <w:rPr>
          <w:rFonts w:ascii="TH SarabunPSK" w:cs="TH SarabunPSK" w:eastAsia="TH SarabunPSK" w:hAnsi="TH SarabunPSK"/>
          <w:b w:val="false"/>
          <w:i/>
          <w:iCs/>
          <w:sz w:val="32"/>
          <w:szCs w:val="32"/>
        </w:rPr>
        <w:t xml:space="preserve">BMC Health Services Research, 25</w:t>
      </w:r>
      <w:r>
        <w:rPr>
          <w:rFonts w:ascii="TH SarabunPSK" w:cs="TH SarabunPSK" w:eastAsia="TH SarabunPSK" w:hAnsi="TH SarabunPSK"/>
          <w:b w:val="false"/>
          <w:i w:val="false"/>
          <w:sz w:val="32"/>
          <w:szCs w:val="32"/>
        </w:rPr>
        <w:t xml:space="preserve">, 319. https://doi.org/10.1186/s12913-025-12457-7</w:t>
      </w:r>
    </w:p>
    <w:p>
      <w:pPr>
        <w:spacing w:after="0" w:before="0" w:line="240" w:lineRule="auto"/>
        <w:ind w:left="709" w:hanging="709"/>
        <w:jc w:val="left"/>
      </w:pPr>
      <w:r>
        <w:rPr>
          <w:rFonts w:ascii="TH SarabunPSK" w:cs="TH SarabunPSK" w:eastAsia="TH SarabunPSK" w:hAnsi="TH SarabunPSK"/>
          <w:b w:val="false"/>
          <w:i w:val="false"/>
          <w:sz w:val="32"/>
          <w:szCs w:val="32"/>
        </w:rPr>
        <w:t xml:space="preserve">Nutbeam, D. (2008). The evolving concept of health literacy. </w:t>
      </w:r>
      <w:r>
        <w:rPr>
          <w:rFonts w:ascii="TH SarabunPSK" w:cs="TH SarabunPSK" w:eastAsia="TH SarabunPSK" w:hAnsi="TH SarabunPSK"/>
          <w:b w:val="false"/>
          <w:i/>
          <w:iCs/>
          <w:sz w:val="32"/>
          <w:szCs w:val="32"/>
        </w:rPr>
        <w:t xml:space="preserve">Social Science &amp; Medicine, 67</w:t>
      </w:r>
      <w:r>
        <w:rPr>
          <w:rFonts w:ascii="TH SarabunPSK" w:cs="TH SarabunPSK" w:eastAsia="TH SarabunPSK" w:hAnsi="TH SarabunPSK"/>
          <w:b w:val="false"/>
          <w:i w:val="false"/>
          <w:sz w:val="32"/>
          <w:szCs w:val="32"/>
        </w:rPr>
        <w:t xml:space="preserve">(12), 2072–2078. https://doi.org/10.1016/j.socscimed.2008.09.050</w:t>
      </w:r>
    </w:p>
    <w:p>
      <w:pPr>
        <w:spacing w:after="0" w:before="0" w:line="240" w:lineRule="auto"/>
        <w:ind w:left="709" w:hanging="709"/>
        <w:jc w:val="left"/>
      </w:pPr>
      <w:r>
        <w:rPr>
          <w:rFonts w:ascii="TH SarabunPSK" w:cs="TH SarabunPSK" w:eastAsia="TH SarabunPSK" w:hAnsi="TH SarabunPSK"/>
          <w:b w:val="false"/>
          <w:i w:val="false"/>
          <w:sz w:val="32"/>
          <w:szCs w:val="32"/>
        </w:rPr>
        <w:t xml:space="preserve">Patchasuwan, N. H., Banchonhattakit, P., Rattanapitoon, N. K., Nilnate, N., Srithumsuk, W., Heebkaew, S., &amp; Phimha, S. (2022). Development of a school-based health literacy model for liver fluke prevention and control using participatory action research. </w:t>
      </w:r>
      <w:r>
        <w:rPr>
          <w:rFonts w:ascii="TH SarabunPSK" w:cs="TH SarabunPSK" w:eastAsia="TH SarabunPSK" w:hAnsi="TH SarabunPSK"/>
          <w:b w:val="false"/>
          <w:i/>
          <w:iCs/>
          <w:sz w:val="32"/>
          <w:szCs w:val="32"/>
        </w:rPr>
        <w:t xml:space="preserve">Asian Pacific Journal of Cancer Prevention, 23</w:t>
      </w:r>
      <w:r>
        <w:rPr>
          <w:rFonts w:ascii="TH SarabunPSK" w:cs="TH SarabunPSK" w:eastAsia="TH SarabunPSK" w:hAnsi="TH SarabunPSK"/>
          <w:b w:val="false"/>
          <w:i w:val="false"/>
          <w:sz w:val="32"/>
          <w:szCs w:val="32"/>
        </w:rPr>
        <w:t xml:space="preserve">(4), 1177–1183. https://doi.org/10.31557/APJCP.2022.23.4.1177</w:t>
      </w:r>
    </w:p>
    <w:p>
      <w:pPr>
        <w:spacing w:after="0" w:before="0" w:line="240" w:lineRule="auto"/>
        <w:ind w:left="709" w:hanging="709"/>
        <w:jc w:val="left"/>
      </w:pPr>
      <w:r>
        <w:rPr>
          <w:rFonts w:ascii="TH SarabunPSK" w:cs="TH SarabunPSK" w:eastAsia="TH SarabunPSK" w:hAnsi="TH SarabunPSK"/>
          <w:b w:val="false"/>
          <w:i w:val="false"/>
          <w:sz w:val="32"/>
          <w:szCs w:val="32"/>
        </w:rPr>
        <w:t xml:space="preserve">Rosenstock, I. M. (1974). The health belief model and preventive health behavior. </w:t>
      </w:r>
      <w:r>
        <w:rPr>
          <w:rFonts w:ascii="TH SarabunPSK" w:cs="TH SarabunPSK" w:eastAsia="TH SarabunPSK" w:hAnsi="TH SarabunPSK"/>
          <w:b w:val="false"/>
          <w:i/>
          <w:iCs/>
          <w:sz w:val="32"/>
          <w:szCs w:val="32"/>
        </w:rPr>
        <w:t xml:space="preserve">Health Education Monographs, 2</w:t>
      </w:r>
      <w:r>
        <w:rPr>
          <w:rFonts w:ascii="TH SarabunPSK" w:cs="TH SarabunPSK" w:eastAsia="TH SarabunPSK" w:hAnsi="TH SarabunPSK"/>
          <w:b w:val="false"/>
          <w:i w:val="false"/>
          <w:sz w:val="32"/>
          <w:szCs w:val="32"/>
        </w:rPr>
        <w:t xml:space="preserve">(4), 354–386. https://doi.org/10.1177/109019817400200405</w:t>
      </w:r>
    </w:p>
    <w:p>
      <w:pPr>
        <w:spacing w:after="0" w:before="0" w:line="240" w:lineRule="auto"/>
        <w:ind w:left="709" w:hanging="709"/>
        <w:jc w:val="left"/>
      </w:pPr>
      <w:r>
        <w:rPr>
          <w:rFonts w:ascii="TH SarabunPSK" w:cs="TH SarabunPSK" w:eastAsia="TH SarabunPSK" w:hAnsi="TH SarabunPSK"/>
          <w:b w:val="false"/>
          <w:i w:val="false"/>
          <w:sz w:val="32"/>
          <w:szCs w:val="32"/>
        </w:rPr>
        <w:t xml:space="preserve">Wongkongdech, A., Kumchan, J., Namyota, C., Chanthamath, S., &amp; Wongkongdech, R. (2024). The effectiveness of participatory health literacy promoting programs among diabetes risk groups in community, Thailand. </w:t>
      </w:r>
      <w:r>
        <w:rPr>
          <w:rFonts w:ascii="TH SarabunPSK" w:cs="TH SarabunPSK" w:eastAsia="TH SarabunPSK" w:hAnsi="TH SarabunPSK"/>
          <w:b w:val="false"/>
          <w:i/>
          <w:iCs/>
          <w:sz w:val="32"/>
          <w:szCs w:val="32"/>
        </w:rPr>
        <w:t xml:space="preserve">Asian Journal of Social Health and Behavior, 7</w:t>
      </w:r>
      <w:r>
        <w:rPr>
          <w:rFonts w:ascii="TH SarabunPSK" w:cs="TH SarabunPSK" w:eastAsia="TH SarabunPSK" w:hAnsi="TH SarabunPSK"/>
          <w:b w:val="false"/>
          <w:i w:val="false"/>
          <w:sz w:val="32"/>
          <w:szCs w:val="32"/>
        </w:rPr>
        <w:t xml:space="preserve">(4), 172–179. https://doi.org/10.4103/shb.shb_166_24</w:t>
      </w:r>
    </w:p>
    <w:p>
      <w:pPr>
        <w:spacing w:after="0" w:before="0" w:line="240" w:lineRule="auto"/>
        <w:ind w:left="709" w:hanging="709"/>
        <w:jc w:val="left"/>
      </w:pPr>
      <w:r>
        <w:rPr>
          <w:rFonts w:ascii="TH SarabunPSK" w:cs="TH SarabunPSK" w:eastAsia="TH SarabunPSK" w:hAnsi="TH SarabunPSK"/>
          <w:b w:val="false"/>
          <w:i w:val="false"/>
          <w:sz w:val="32"/>
          <w:szCs w:val="32"/>
        </w:rPr>
        <w:t xml:space="preserve">World Health Organization. (2021). </w:t>
      </w:r>
      <w:r>
        <w:rPr>
          <w:rFonts w:ascii="TH SarabunPSK" w:cs="TH SarabunPSK" w:eastAsia="TH SarabunPSK" w:hAnsi="TH SarabunPSK"/>
          <w:b w:val="false"/>
          <w:i/>
          <w:iCs/>
          <w:sz w:val="32"/>
          <w:szCs w:val="32"/>
        </w:rPr>
        <w:t xml:space="preserve">Health literacy</w:t>
      </w:r>
      <w:r>
        <w:rPr>
          <w:rFonts w:ascii="TH SarabunPSK" w:cs="TH SarabunPSK" w:eastAsia="TH SarabunPSK" w:hAnsi="TH SarabunPSK"/>
          <w:b w:val="false"/>
          <w:i w:val="false"/>
          <w:sz w:val="32"/>
          <w:szCs w:val="32"/>
        </w:rPr>
        <w:t xml:space="preserve">. https://www.who.int/news-room/fact-sheets/detail/health-literacy</w:t>
      </w:r>
    </w:p>
    <w:sectPr>
      <w:pgSz w:w="11906" w:h="16838" w:orient="portrait"/>
      <w:pgMar w:top="1440" w:right="1440"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 SarabunPSK" w:cs="TH SarabunPSK" w:eastAsia="TH SarabunPSK" w:hAnsi="TH SarabunPSK"/>
        <w:sz w:val="32"/>
        <w:szCs w:val="32"/>
        <w:lang w:val="en-US" w:eastAsia="th-TH" w:bidi="th-TH"/>
      </w:rPr>
    </w:rPrDefault>
    <w:pPrDefault>
      <w:pPr>
        <w:spacing w:after="0" w:before="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ผลของแบบแผนความเชื่อด้านสุขภาพและความรอบรู้ด้านสุขภาพ</dc:title>
  <dc:creator>วีรศักดิ์ พรหมมา</dc:creator>
  <cp:lastModifiedBy>Un-named</cp:lastModifiedBy>
  <cp:revision>1</cp:revision>
  <dcterms:created xsi:type="dcterms:W3CDTF">2026-10-09T02:39:32.430Z</dcterms:created>
  <dcterms:modified xsi:type="dcterms:W3CDTF">2026-10-09T02:39:32.430Z</dcterms:modified>
</cp:coreProperties>
</file>

<file path=docProps/custom.xml><?xml version="1.0" encoding="utf-8"?>
<Properties xmlns="http://schemas.openxmlformats.org/officeDocument/2006/custom-properties" xmlns:vt="http://schemas.openxmlformats.org/officeDocument/2006/docPropsVTypes"/>
</file>