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Audit Log Review</w:t>
      </w:r>
    </w:p>
    <w:p>
      <w:pPr>
        <w:spacing w:after="40"/>
      </w:pPr>
      <w:r>
        <w:rPr>
          <w:color w:val="44475A"/>
          <w:sz w:val="18"/>
        </w:rPr>
        <w:t>Roles: 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maintains a comprehensive audit log of all significant actions: logins, role changes, POA&amp;M updates, ATO decisions, file uploads, and admin actions. The audit log is append-only and cannot be modified by any user.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Admin account.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View the audit log</w:t>
      </w:r>
    </w:p>
    <w:p>
      <w:pPr>
        <w:spacing w:after="120"/>
      </w:pPr>
      <w:r>
        <w:rPr>
          <w:sz w:val="20"/>
        </w:rPr>
        <w:t>Navigate to /admin/audit. The log shows the most recent 500 entries by default. Each entry shows timestamp, username, action type, and detail string. Entries are color-coded by category (auth=blue, write=green, admin=orange, error=red).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-step-01-audit-log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View the audit log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Filter by user or action</w:t>
      </w:r>
    </w:p>
    <w:p>
      <w:pPr>
        <w:spacing w:after="120"/>
      </w:pPr>
      <w:r>
        <w:rPr>
          <w:sz w:val="20"/>
        </w:rPr>
        <w:t>Use the filter bar at the top to narrow by username, action type, or date range. Click Apply Filters. The table updates to show only matching entries.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-step-02-audit-log-filter-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Filter by user or action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Export audit log</w:t>
      </w:r>
    </w:p>
    <w:p>
      <w:pPr>
        <w:spacing w:after="120"/>
      </w:pPr>
      <w:r>
        <w:rPr>
          <w:sz w:val="20"/>
        </w:rPr>
        <w:t>Click Export CSV at the top of the audit log page. The full filtered audit log downloads as a CSV file with all columns. Use this for compliance reporting or incident investigation.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-step-03-audit-log-export-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Export audit log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Audit log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actions have been logged yet, or the filter is too narrow. Clear filters and reload.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Export file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Verify the date range includes events. Audit log entries older than the configured retention period may be purged.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