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color w:val="00D9F5"/>
          <w:sz w:val="14"/>
        </w:rPr>
        <w:t>━━━━━━━━━━━━━━━━━━━━━━━━━━━━━━━━━━━━━━━━━━━━━━━━━━━━━━━━━━━━━━━━━━━━━━</w:t>
      </w:r>
    </w:p>
    <w:p>
      <w:pPr>
        <w:spacing w:after="40"/>
      </w:pPr>
      <w:r>
        <w:rPr>
          <w:color w:val="44475A"/>
          <w:sz w:val="18"/>
        </w:rPr>
        <w:t>BLACKSITE GRC Platform  ·  THKR-BSV-001</w:t>
      </w:r>
    </w:p>
    <w:p>
      <w:pPr>
        <w:pStyle w:val="Heading1"/>
        <w:spacing w:before="80" w:after="120"/>
      </w:pPr>
      <w:r>
        <w:rPr>
          <w:color w:val="1E1E2E"/>
          <w:sz w:val="40"/>
        </w:rPr>
        <w:t>Observations and Finding Promotion</w:t>
      </w:r>
    </w:p>
    <w:p>
      <w:pPr>
        <w:spacing w:after="40"/>
      </w:pPr>
      <w:r>
        <w:rPr>
          <w:color w:val="44475A"/>
          <w:sz w:val="18"/>
        </w:rPr>
        <w:t>Roles:  SCA, Pen Tester, ISSO, Admin</w:t>
      </w:r>
    </w:p>
    <w:p>
      <w:pPr>
        <w:spacing w:after="40"/>
      </w:pPr>
      <w:r>
        <w:rPr>
          <w:color w:val="44475A"/>
          <w:sz w:val="18"/>
        </w:rPr>
        <w:t>Version:  1.0    |    Date:  2026-03-01    |    Classification:  INTERNAL USE ONLY</w:t>
      </w:r>
    </w:p>
    <w:p>
      <w:pPr>
        <w:spacing w:before="80" w:after="320"/>
      </w:pPr>
      <w:r>
        <w:rPr>
          <w:color w:val="00D9F5"/>
          <w:sz w:val="14"/>
        </w:rPr>
        <w:t>━━━━━━━━━━━━━━━━━━━━━━━━━━━━━━━━━━━━━━━━━━━━━━━━━━━━━━━━━━━━━━━━━━━━━━</w:t>
      </w:r>
    </w:p>
    <w:p>
      <w:pPr>
        <w:pStyle w:val="Heading2"/>
        <w:spacing w:before="240"/>
      </w:pPr>
      <w:r>
        <w:rPr>
          <w:color w:val="1E1E2E"/>
          <w:sz w:val="24"/>
        </w:rPr>
        <w:t>Overview</w:t>
      </w:r>
    </w:p>
    <w:p>
      <w:pPr>
        <w:spacing w:after="200"/>
      </w:pPr>
      <w:r>
        <w:rPr>
          <w:sz w:val="20"/>
        </w:rPr>
        <w:t>Observations are informal findings noted during assessments or pen tests. They can be promoted to formal POA&amp;M items when they rise to the level of a trackable deficiency. This SOP covers creating, reviewing, and promoting observations.</w:t>
      </w:r>
    </w:p>
    <w:p>
      <w:pPr>
        <w:pStyle w:val="Heading2"/>
        <w:spacing w:before="120"/>
      </w:pPr>
      <w:r>
        <w:rPr>
          <w:color w:val="1E1E2E"/>
          <w:sz w:val="24"/>
        </w:rPr>
        <w:t>Prerequisites</w:t>
      </w:r>
    </w:p>
    <w:p>
      <w:pPr>
        <w:pStyle w:val="ListBullet"/>
        <w:spacing w:after="40"/>
      </w:pPr>
      <w:r>
        <w:rPr>
          <w:sz w:val="20"/>
        </w:rPr>
        <w:t>System assigned to user.</w:t>
      </w:r>
    </w:p>
    <w:p>
      <w:pPr>
        <w:pStyle w:val="ListBullet"/>
        <w:spacing w:after="40"/>
      </w:pPr>
      <w:r>
        <w:rPr>
          <w:sz w:val="20"/>
        </w:rPr>
        <w:t>Assessment or pen test findings available to document.</w:t>
      </w:r>
    </w:p>
    <w:p>
      <w:pPr>
        <w:pStyle w:val="Heading2"/>
        <w:spacing w:before="320"/>
      </w:pPr>
      <w:r>
        <w:rPr>
          <w:color w:val="1E1E2E"/>
          <w:sz w:val="24"/>
        </w:rPr>
        <w:t>Procedure</w:t>
      </w:r>
    </w:p>
    <w:p>
      <w:pPr>
        <w:pStyle w:val="Heading2"/>
        <w:spacing w:before="280" w:after="80"/>
      </w:pPr>
      <w:r>
        <w:rPr>
          <w:color w:val="1A1A2E"/>
          <w:sz w:val="22"/>
        </w:rPr>
        <w:t>Step 1: View observations list</w:t>
      </w:r>
    </w:p>
    <w:p>
      <w:pPr>
        <w:spacing w:after="120"/>
      </w:pPr>
      <w:r>
        <w:rPr>
          <w:sz w:val="20"/>
        </w:rPr>
        <w:t>Navigate to /observations. Observations are listed with type, severity, system, submitter, and date. Filter by status (Open/Closed) or system using the filter controls.</w:t>
      </w:r>
    </w:p>
    <w:p>
      <w:pPr>
        <w:spacing w:after="80"/>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observations-step-01-observations-list.png"/>
                    <pic:cNvPicPr/>
                  </pic:nvPicPr>
                  <pic:blipFill>
                    <a:blip r:embed="rId9"/>
                    <a:stretch>
                      <a:fillRect/>
                    </a:stretch>
                  </pic:blipFill>
                  <pic:spPr>
                    <a:xfrm>
                      <a:off x="0" y="0"/>
                      <a:ext cx="5943600" cy="3714750"/>
                    </a:xfrm>
                    <a:prstGeom prst="rect"/>
                  </pic:spPr>
                </pic:pic>
              </a:graphicData>
            </a:graphic>
          </wp:inline>
        </w:drawing>
      </w:r>
    </w:p>
    <w:p>
      <w:pPr>
        <w:spacing w:after="200"/>
        <w:jc w:val="center"/>
      </w:pPr>
      <w:r>
        <w:rPr>
          <w:i/>
          <w:color w:val="44475A"/>
          <w:sz w:val="16"/>
        </w:rPr>
        <w:t>Figure 1: View observations list</w:t>
      </w:r>
    </w:p>
    <w:p>
      <w:pPr>
        <w:pStyle w:val="Heading2"/>
        <w:spacing w:before="280" w:after="80"/>
      </w:pPr>
      <w:r>
        <w:rPr>
          <w:color w:val="1A1A2E"/>
          <w:sz w:val="22"/>
        </w:rPr>
        <w:t>Step 2: Create a new observation</w:t>
      </w:r>
    </w:p>
    <w:p>
      <w:pPr>
        <w:spacing w:after="120"/>
      </w:pPr>
      <w:r>
        <w:rPr>
          <w:sz w:val="20"/>
        </w:rPr>
        <w:t>Click + New Observation. Fill in: System, Type (Technical/Administrative/Physical), Severity, Title, Description, and Recommended Action. Click Save. The observation is now visible to the ISSO and SCA for the system.</w:t>
      </w:r>
    </w:p>
    <w:p>
      <w:pPr>
        <w:spacing w:after="80"/>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observations-step-02-observation-new-form.png"/>
                    <pic:cNvPicPr/>
                  </pic:nvPicPr>
                  <pic:blipFill>
                    <a:blip r:embed="rId10"/>
                    <a:stretch>
                      <a:fillRect/>
                    </a:stretch>
                  </pic:blipFill>
                  <pic:spPr>
                    <a:xfrm>
                      <a:off x="0" y="0"/>
                      <a:ext cx="5943600" cy="3714750"/>
                    </a:xfrm>
                    <a:prstGeom prst="rect"/>
                  </pic:spPr>
                </pic:pic>
              </a:graphicData>
            </a:graphic>
          </wp:inline>
        </w:drawing>
      </w:r>
    </w:p>
    <w:p>
      <w:pPr>
        <w:spacing w:after="200"/>
        <w:jc w:val="center"/>
      </w:pPr>
      <w:r>
        <w:rPr>
          <w:i/>
          <w:color w:val="44475A"/>
          <w:sz w:val="16"/>
        </w:rPr>
        <w:t>Figure 2: Create a new observation</w:t>
      </w:r>
    </w:p>
    <w:p>
      <w:pPr>
        <w:pStyle w:val="Heading2"/>
        <w:spacing w:before="280" w:after="80"/>
      </w:pPr>
      <w:r>
        <w:rPr>
          <w:color w:val="1A1A2E"/>
          <w:sz w:val="22"/>
        </w:rPr>
        <w:t>Step 3: Review observation detail</w:t>
      </w:r>
    </w:p>
    <w:p>
      <w:pPr>
        <w:spacing w:after="120"/>
      </w:pPr>
      <w:r>
        <w:rPr>
          <w:sz w:val="20"/>
        </w:rPr>
        <w:t>Click an observation row to open its detail page. The SCA or ISSO can add review notes and change the status. If the finding warrants formal tracking, proceed to promote it to a POA&amp;M item.</w:t>
      </w:r>
    </w:p>
    <w:p>
      <w:pPr>
        <w:spacing w:after="80"/>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observations-step-03-observation-detail.png"/>
                    <pic:cNvPicPr/>
                  </pic:nvPicPr>
                  <pic:blipFill>
                    <a:blip r:embed="rId11"/>
                    <a:stretch>
                      <a:fillRect/>
                    </a:stretch>
                  </pic:blipFill>
                  <pic:spPr>
                    <a:xfrm>
                      <a:off x="0" y="0"/>
                      <a:ext cx="5943600" cy="3714750"/>
                    </a:xfrm>
                    <a:prstGeom prst="rect"/>
                  </pic:spPr>
                </pic:pic>
              </a:graphicData>
            </a:graphic>
          </wp:inline>
        </w:drawing>
      </w:r>
    </w:p>
    <w:p>
      <w:pPr>
        <w:spacing w:after="200"/>
        <w:jc w:val="center"/>
      </w:pPr>
      <w:r>
        <w:rPr>
          <w:i/>
          <w:color w:val="44475A"/>
          <w:sz w:val="16"/>
        </w:rPr>
        <w:t>Figure 3: Review observation detail</w:t>
      </w:r>
    </w:p>
    <w:p>
      <w:pPr>
        <w:pStyle w:val="Heading2"/>
        <w:spacing w:before="280" w:after="80"/>
      </w:pPr>
      <w:r>
        <w:rPr>
          <w:color w:val="1A1A2E"/>
          <w:sz w:val="22"/>
        </w:rPr>
        <w:t>Step 4: Promote to POA&amp;M</w:t>
      </w:r>
    </w:p>
    <w:p>
      <w:pPr>
        <w:spacing w:after="120"/>
      </w:pPr>
      <w:r>
        <w:rPr>
          <w:sz w:val="20"/>
        </w:rPr>
        <w:t>On the observation detail page, click Promote to POA&amp;M. A pre-filled POA&amp;M creation form opens with the observation title, description, and system pre-populated. Complete the remaining POA&amp;M fields (severity, control ID, dates) and save. The observation status updates to Promoted and links to the new POA&amp;M.</w:t>
      </w:r>
    </w:p>
    <w:p>
      <w:pPr>
        <w:spacing w:after="80"/>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observations-step-04-observation-promote.png"/>
                    <pic:cNvPicPr/>
                  </pic:nvPicPr>
                  <pic:blipFill>
                    <a:blip r:embed="rId12"/>
                    <a:stretch>
                      <a:fillRect/>
                    </a:stretch>
                  </pic:blipFill>
                  <pic:spPr>
                    <a:xfrm>
                      <a:off x="0" y="0"/>
                      <a:ext cx="5943600" cy="3714750"/>
                    </a:xfrm>
                    <a:prstGeom prst="rect"/>
                  </pic:spPr>
                </pic:pic>
              </a:graphicData>
            </a:graphic>
          </wp:inline>
        </w:drawing>
      </w:r>
    </w:p>
    <w:p>
      <w:pPr>
        <w:spacing w:after="200"/>
        <w:jc w:val="center"/>
      </w:pPr>
      <w:r>
        <w:rPr>
          <w:i/>
          <w:color w:val="44475A"/>
          <w:sz w:val="16"/>
        </w:rPr>
        <w:t>Figure 4: Promote to POA&amp;M</w:t>
      </w:r>
    </w:p>
    <w:p>
      <w:pPr>
        <w:pStyle w:val="Heading2"/>
        <w:spacing w:before="320"/>
      </w:pPr>
      <w:r>
        <w:rPr>
          <w:color w:val="1E1E2E"/>
          <w:sz w:val="24"/>
        </w:rPr>
        <w:t>Common Issues and Resolutions</w:t>
      </w:r>
    </w:p>
    <w:tbl>
      <w:tblPr>
        <w:tblStyle w:val="TableGrid"/>
        <w:tblW w:type="auto" w:w="0"/>
        <w:jc w:val="left"/>
        <w:tblLook w:firstColumn="1" w:firstRow="1" w:lastColumn="0" w:lastRow="0" w:noHBand="0" w:noVBand="1" w:val="04A0"/>
      </w:tblPr>
      <w:tblGrid>
        <w:gridCol w:w="3600"/>
        <w:gridCol w:w="5760"/>
      </w:tblGrid>
      <w:tr>
        <w:tc>
          <w:tcPr>
            <w:tcW w:type="dxa" w:w="4680"/>
            <w:shd w:val="clear" w:color="auto" w:fill="1a1a2e"/>
          </w:tcPr>
          <w:p>
            <w:r>
              <w:rPr>
                <w:b/>
                <w:color w:val="FFFFFF"/>
                <w:sz w:val="18"/>
              </w:rPr>
              <w:t>Symptom</w:t>
            </w:r>
          </w:p>
        </w:tc>
        <w:tc>
          <w:tcPr>
            <w:tcW w:type="dxa" w:w="4680"/>
            <w:shd w:val="clear" w:color="auto" w:fill="1a1a2e"/>
          </w:tcPr>
          <w:p>
            <w:r>
              <w:rPr>
                <w:b/>
                <w:color w:val="FFFFFF"/>
                <w:sz w:val="18"/>
              </w:rPr>
              <w:t>Resolution</w:t>
            </w:r>
          </w:p>
        </w:tc>
      </w:tr>
      <w:tr>
        <w:tc>
          <w:tcPr>
            <w:tcW w:type="dxa" w:w="4680"/>
          </w:tcPr>
          <w:p>
            <w:r>
              <w:rPr>
                <w:sz w:val="18"/>
              </w:rPr>
              <w:t>Promote button absent</w:t>
            </w:r>
          </w:p>
        </w:tc>
        <w:tc>
          <w:tcPr>
            <w:tcW w:type="dxa" w:w="4680"/>
          </w:tcPr>
          <w:p>
            <w:r>
              <w:rPr>
                <w:sz w:val="18"/>
              </w:rPr>
              <w:t>Only SCA and admin roles can promote observations. ISSO can view but not promote.</w:t>
            </w:r>
          </w:p>
        </w:tc>
      </w:tr>
      <w:tr>
        <w:tc>
          <w:tcPr>
            <w:tcW w:type="dxa" w:w="4680"/>
          </w:tcPr>
          <w:p>
            <w:r>
              <w:rPr>
                <w:sz w:val="18"/>
              </w:rPr>
              <w:t>Observation not visible to ISSO</w:t>
            </w:r>
          </w:p>
        </w:tc>
        <w:tc>
          <w:tcPr>
            <w:tcW w:type="dxa" w:w="4680"/>
          </w:tcPr>
          <w:p>
            <w:r>
              <w:rPr>
                <w:sz w:val="18"/>
              </w:rPr>
              <w:t>Observations are scoped to the assigned system. Verify the ISSO is assigned.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