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color w:val="00D9F5"/>
          <w:sz w:val="14"/>
        </w:rPr>
        <w:t>━━━━━━━━━━━━━━━━━━━━━━━━━━━━━━━━━━━━━━━━━━━━━━━━━━━━━━━━━━━━━━━━━━━━━━</w:t>
      </w:r>
    </w:p>
    <w:p>
      <w:pPr>
        <w:spacing w:after="40"/>
      </w:pPr>
      <w:r>
        <w:rPr>
          <w:color w:val="44475A"/>
          <w:sz w:val="18"/>
        </w:rPr>
        <w:t>BLACKSITE GRC Platform  ·  THKR-BSV-001</w:t>
      </w:r>
    </w:p>
    <w:p>
      <w:pPr>
        <w:pStyle w:val="Heading1"/>
        <w:spacing w:before="80" w:after="120"/>
      </w:pPr>
      <w:r>
        <w:rPr>
          <w:color w:val="1E1E2E"/>
          <w:sz w:val="40"/>
        </w:rPr>
        <w:t>POA&amp;M Lifecycle Management</w:t>
      </w:r>
    </w:p>
    <w:p>
      <w:pPr>
        <w:spacing w:after="40"/>
      </w:pPr>
      <w:r>
        <w:rPr>
          <w:color w:val="44475A"/>
          <w:sz w:val="18"/>
        </w:rPr>
        <w:t>Roles:  ISSO, ISSM, SCA, AO, Admin</w:t>
      </w:r>
    </w:p>
    <w:p>
      <w:pPr>
        <w:spacing w:after="40"/>
      </w:pPr>
      <w:r>
        <w:rPr>
          <w:color w:val="44475A"/>
          <w:sz w:val="18"/>
        </w:rPr>
        <w:t>Version:  1.0    |    Date:  2026-03-01    |    Classification:  INTERNAL USE ONLY</w:t>
      </w:r>
    </w:p>
    <w:p>
      <w:pPr>
        <w:spacing w:before="80" w:after="320"/>
      </w:pPr>
      <w:r>
        <w:rPr>
          <w:color w:val="00D9F5"/>
          <w:sz w:val="14"/>
        </w:rPr>
        <w:t>━━━━━━━━━━━━━━━━━━━━━━━━━━━━━━━━━━━━━━━━━━━━━━━━━━━━━━━━━━━━━━━━━━━━━━</w:t>
      </w:r>
    </w:p>
    <w:p>
      <w:pPr>
        <w:pStyle w:val="Heading2"/>
        <w:spacing w:before="240"/>
      </w:pPr>
      <w:r>
        <w:rPr>
          <w:color w:val="1E1E2E"/>
          <w:sz w:val="24"/>
        </w:rPr>
        <w:t>Overview</w:t>
      </w:r>
    </w:p>
    <w:p>
      <w:pPr>
        <w:spacing w:after="200"/>
      </w:pPr>
      <w:r>
        <w:rPr>
          <w:sz w:val="20"/>
        </w:rPr>
        <w:t>Plan of Action and Milestones (POA&amp;M) items track identified deficiencies and their remediation plans. BLACKSITE enforces a state machine for POA&amp;M status transitions with role-based push-power rules. Each status change is logged in an immutable approval trail.</w:t>
      </w:r>
    </w:p>
    <w:p>
      <w:pPr>
        <w:pStyle w:val="Heading2"/>
        <w:spacing w:before="120"/>
      </w:pPr>
      <w:r>
        <w:rPr>
          <w:color w:val="1E1E2E"/>
          <w:sz w:val="24"/>
        </w:rPr>
        <w:t>Prerequisites</w:t>
      </w:r>
    </w:p>
    <w:p>
      <w:pPr>
        <w:pStyle w:val="ListBullet"/>
        <w:spacing w:after="40"/>
      </w:pPr>
      <w:r>
        <w:rPr>
          <w:sz w:val="20"/>
        </w:rPr>
        <w:t>System record with an assigned ISSO.</w:t>
      </w:r>
    </w:p>
    <w:p>
      <w:pPr>
        <w:pStyle w:val="ListBullet"/>
        <w:spacing w:after="40"/>
      </w:pPr>
      <w:r>
        <w:rPr>
          <w:sz w:val="20"/>
        </w:rPr>
        <w:t>Identified finding or vulnerability to track.</w:t>
      </w:r>
    </w:p>
    <w:p>
      <w:pPr>
        <w:pStyle w:val="Heading2"/>
        <w:spacing w:before="320"/>
      </w:pPr>
      <w:r>
        <w:rPr>
          <w:color w:val="1E1E2E"/>
          <w:sz w:val="24"/>
        </w:rPr>
        <w:t>Procedure</w:t>
      </w:r>
    </w:p>
    <w:p>
      <w:pPr>
        <w:pStyle w:val="Heading2"/>
        <w:spacing w:before="280" w:after="80"/>
      </w:pPr>
      <w:r>
        <w:rPr>
          <w:color w:val="1A1A2E"/>
          <w:sz w:val="22"/>
        </w:rPr>
        <w:t>Step 1: View the POA&amp;M list</w:t>
      </w:r>
    </w:p>
    <w:p>
      <w:pPr>
        <w:spacing w:after="120"/>
      </w:pPr>
      <w:r>
        <w:rPr>
          <w:sz w:val="20"/>
        </w:rPr>
        <w:t>Navigate to /poam. All POA&amp;M items across your assigned systems are listed with status badges, severity, control ID, system name, and scheduled completion date. Use the status filter tabs to narrow the view.</w:t>
      </w:r>
    </w:p>
    <w:p>
      <w:pPr>
        <w:spacing w:after="8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poam-lifecycle-step-01-poam-list-all.png"/>
                    <pic:cNvPicPr/>
                  </pic:nvPicPr>
                  <pic:blipFill>
                    <a:blip r:embed="rId9"/>
                    <a:stretch>
                      <a:fillRect/>
                    </a:stretch>
                  </pic:blipFill>
                  <pic:spPr>
                    <a:xfrm>
                      <a:off x="0" y="0"/>
                      <a:ext cx="5943600" cy="3714750"/>
                    </a:xfrm>
                    <a:prstGeom prst="rect"/>
                  </pic:spPr>
                </pic:pic>
              </a:graphicData>
            </a:graphic>
          </wp:inline>
        </w:drawing>
      </w:r>
    </w:p>
    <w:p>
      <w:pPr>
        <w:spacing w:after="200"/>
        <w:jc w:val="center"/>
      </w:pPr>
      <w:r>
        <w:rPr>
          <w:i/>
          <w:color w:val="44475A"/>
          <w:sz w:val="16"/>
        </w:rPr>
        <w:t>Figure 1: View the POA&amp;M list</w:t>
      </w:r>
    </w:p>
    <w:p>
      <w:pPr>
        <w:pStyle w:val="Heading2"/>
        <w:spacing w:before="280" w:after="80"/>
      </w:pPr>
      <w:r>
        <w:rPr>
          <w:color w:val="1A1A2E"/>
          <w:sz w:val="22"/>
        </w:rPr>
        <w:t>Step 2: Create a new POA&amp;M item</w:t>
      </w:r>
    </w:p>
    <w:p>
      <w:pPr>
        <w:spacing w:after="120"/>
      </w:pPr>
      <w:r>
        <w:rPr>
          <w:sz w:val="20"/>
        </w:rPr>
        <w:t>Click + New POA&amp;M. Fill in: System, Control ID (from NIST catalog datalist), Title, Weakness Description, Severity (Critical/High/Moderate/Low), Scheduled Completion Date, Responsible Role, and Remediation Plan. Click Save. A POA&amp;M ID (e.g., ABVR022826-1001AC01) is auto-generated.</w:t>
      </w:r>
    </w:p>
    <w:p>
      <w:pPr>
        <w:spacing w:after="8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poam-lifecycle-step-02-poam-new-form.png"/>
                    <pic:cNvPicPr/>
                  </pic:nvPicPr>
                  <pic:blipFill>
                    <a:blip r:embed="rId10"/>
                    <a:stretch>
                      <a:fillRect/>
                    </a:stretch>
                  </pic:blipFill>
                  <pic:spPr>
                    <a:xfrm>
                      <a:off x="0" y="0"/>
                      <a:ext cx="5943600" cy="3714750"/>
                    </a:xfrm>
                    <a:prstGeom prst="rect"/>
                  </pic:spPr>
                </pic:pic>
              </a:graphicData>
            </a:graphic>
          </wp:inline>
        </w:drawing>
      </w:r>
    </w:p>
    <w:p>
      <w:pPr>
        <w:spacing w:after="200"/>
        <w:jc w:val="center"/>
      </w:pPr>
      <w:r>
        <w:rPr>
          <w:i/>
          <w:color w:val="44475A"/>
          <w:sz w:val="16"/>
        </w:rPr>
        <w:t>Figure 2: Create a new POA&amp;M item</w:t>
      </w:r>
    </w:p>
    <w:p>
      <w:pPr>
        <w:pStyle w:val="Heading2"/>
        <w:spacing w:before="280" w:after="80"/>
      </w:pPr>
      <w:r>
        <w:rPr>
          <w:color w:val="1A1A2E"/>
          <w:sz w:val="22"/>
        </w:rPr>
        <w:t>Step 3: Open POA&amp;M detail (draft status)</w:t>
      </w:r>
    </w:p>
    <w:p>
      <w:pPr>
        <w:spacing w:after="120"/>
      </w:pPr>
      <w:r>
        <w:rPr>
          <w:sz w:val="20"/>
        </w:rPr>
        <w:t>Click a POA&amp;M row to open its detail page. In Draft status, the ISSO can edit all fields. The Approval Trail section at the bottom shows an empty log. When ready, click Submit for Review to advance to In Progress.</w:t>
      </w:r>
    </w:p>
    <w:p>
      <w:pPr>
        <w:spacing w:after="8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poam-lifecycle-step-03-poam-detail-draft.png"/>
                    <pic:cNvPicPr/>
                  </pic:nvPicPr>
                  <pic:blipFill>
                    <a:blip r:embed="rId11"/>
                    <a:stretch>
                      <a:fillRect/>
                    </a:stretch>
                  </pic:blipFill>
                  <pic:spPr>
                    <a:xfrm>
                      <a:off x="0" y="0"/>
                      <a:ext cx="5943600" cy="3714750"/>
                    </a:xfrm>
                    <a:prstGeom prst="rect"/>
                  </pic:spPr>
                </pic:pic>
              </a:graphicData>
            </a:graphic>
          </wp:inline>
        </w:drawing>
      </w:r>
    </w:p>
    <w:p>
      <w:pPr>
        <w:spacing w:after="200"/>
        <w:jc w:val="center"/>
      </w:pPr>
      <w:r>
        <w:rPr>
          <w:i/>
          <w:color w:val="44475A"/>
          <w:sz w:val="16"/>
        </w:rPr>
        <w:t>Figure 3: Open POA&amp;M detail (draft status)</w:t>
      </w:r>
    </w:p>
    <w:p>
      <w:pPr>
        <w:pStyle w:val="Heading2"/>
        <w:spacing w:before="280" w:after="80"/>
      </w:pPr>
      <w:r>
        <w:rPr>
          <w:color w:val="1A1A2E"/>
          <w:sz w:val="22"/>
        </w:rPr>
        <w:t>Step 4: Import POA&amp;M items</w:t>
      </w:r>
    </w:p>
    <w:p>
      <w:pPr>
        <w:spacing w:after="120"/>
      </w:pPr>
      <w:r>
        <w:rPr>
          <w:sz w:val="20"/>
        </w:rPr>
        <w:t>Navigate to /poam/import to bulk-import POA&amp;M items from CSV or XLSX. Download the template first, fill in the required columns, then upload. A preview step shows parsed rows before committing.</w:t>
      </w:r>
    </w:p>
    <w:p>
      <w:pPr>
        <w:spacing w:after="80"/>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poam-lifecycle-step-04-poam-import-page.png"/>
                    <pic:cNvPicPr/>
                  </pic:nvPicPr>
                  <pic:blipFill>
                    <a:blip r:embed="rId12"/>
                    <a:stretch>
                      <a:fillRect/>
                    </a:stretch>
                  </pic:blipFill>
                  <pic:spPr>
                    <a:xfrm>
                      <a:off x="0" y="0"/>
                      <a:ext cx="5943600" cy="3714750"/>
                    </a:xfrm>
                    <a:prstGeom prst="rect"/>
                  </pic:spPr>
                </pic:pic>
              </a:graphicData>
            </a:graphic>
          </wp:inline>
        </w:drawing>
      </w:r>
    </w:p>
    <w:p>
      <w:pPr>
        <w:spacing w:after="200"/>
        <w:jc w:val="center"/>
      </w:pPr>
      <w:r>
        <w:rPr>
          <w:i/>
          <w:color w:val="44475A"/>
          <w:sz w:val="16"/>
        </w:rPr>
        <w:t>Figure 4: Import POA&amp;M items</w:t>
      </w:r>
    </w:p>
    <w:p>
      <w:pPr>
        <w:pStyle w:val="Heading2"/>
        <w:spacing w:before="280" w:after="80"/>
      </w:pPr>
      <w:r>
        <w:rPr>
          <w:color w:val="1A1A2E"/>
          <w:sz w:val="22"/>
        </w:rPr>
        <w:t>Step 5: Export POA&amp;M list</w:t>
      </w:r>
    </w:p>
    <w:p>
      <w:pPr>
        <w:spacing w:after="120"/>
      </w:pPr>
      <w:r>
        <w:rPr>
          <w:sz w:val="20"/>
        </w:rPr>
        <w:t>Navigate to /poam/export to download all open POA&amp;M items as CSV or XLSX. The export includes all fields, approval trail entries, and evidence filenames. Use this for FISMA reporting or external review.</w:t>
      </w:r>
    </w:p>
    <w:p>
      <w:pPr>
        <w:spacing w:after="8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poam-lifecycle-step-05-poam-export-page.png"/>
                    <pic:cNvPicPr/>
                  </pic:nvPicPr>
                  <pic:blipFill>
                    <a:blip r:embed="rId13"/>
                    <a:stretch>
                      <a:fillRect/>
                    </a:stretch>
                  </pic:blipFill>
                  <pic:spPr>
                    <a:xfrm>
                      <a:off x="0" y="0"/>
                      <a:ext cx="5943600" cy="3714750"/>
                    </a:xfrm>
                    <a:prstGeom prst="rect"/>
                  </pic:spPr>
                </pic:pic>
              </a:graphicData>
            </a:graphic>
          </wp:inline>
        </w:drawing>
      </w:r>
    </w:p>
    <w:p>
      <w:pPr>
        <w:spacing w:after="200"/>
        <w:jc w:val="center"/>
      </w:pPr>
      <w:r>
        <w:rPr>
          <w:i/>
          <w:color w:val="44475A"/>
          <w:sz w:val="16"/>
        </w:rPr>
        <w:t>Figure 5: Export POA&amp;M list</w:t>
      </w:r>
    </w:p>
    <w:p>
      <w:pPr>
        <w:pStyle w:val="Heading2"/>
        <w:spacing w:before="280" w:after="80"/>
      </w:pPr>
      <w:r>
        <w:rPr>
          <w:color w:val="1A1A2E"/>
          <w:sz w:val="22"/>
        </w:rPr>
        <w:t>Step 6: In Progress status</w:t>
      </w:r>
    </w:p>
    <w:p>
      <w:pPr>
        <w:spacing w:after="120"/>
      </w:pPr>
      <w:r>
        <w:rPr>
          <w:sz w:val="20"/>
        </w:rPr>
        <w:t>When submitted, the POA&amp;M moves to In Progress. The ISSO updates milestone progress notes and can upload closure evidence. The SCA can review and request changes or advance to Ready for Review.</w:t>
      </w:r>
    </w:p>
    <w:p>
      <w:pPr>
        <w:spacing w:after="80"/>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poam-lifecycle-step-06-poam-status-open.png"/>
                    <pic:cNvPicPr/>
                  </pic:nvPicPr>
                  <pic:blipFill>
                    <a:blip r:embed="rId14"/>
                    <a:stretch>
                      <a:fillRect/>
                    </a:stretch>
                  </pic:blipFill>
                  <pic:spPr>
                    <a:xfrm>
                      <a:off x="0" y="0"/>
                      <a:ext cx="5943600" cy="3714750"/>
                    </a:xfrm>
                    <a:prstGeom prst="rect"/>
                  </pic:spPr>
                </pic:pic>
              </a:graphicData>
            </a:graphic>
          </wp:inline>
        </w:drawing>
      </w:r>
    </w:p>
    <w:p>
      <w:pPr>
        <w:spacing w:after="200"/>
        <w:jc w:val="center"/>
      </w:pPr>
      <w:r>
        <w:rPr>
          <w:i/>
          <w:color w:val="44475A"/>
          <w:sz w:val="16"/>
        </w:rPr>
        <w:t>Figure 6: In Progress status</w:t>
      </w:r>
    </w:p>
    <w:p>
      <w:pPr>
        <w:pStyle w:val="Heading2"/>
        <w:spacing w:before="280" w:after="80"/>
      </w:pPr>
      <w:r>
        <w:rPr>
          <w:color w:val="1A1A2E"/>
          <w:sz w:val="22"/>
        </w:rPr>
        <w:t>Step 7: Blocked status</w:t>
      </w:r>
    </w:p>
    <w:p>
      <w:pPr>
        <w:spacing w:after="120"/>
      </w:pPr>
      <w:r>
        <w:rPr>
          <w:sz w:val="20"/>
        </w:rPr>
        <w:t>If remediation is blocked by an external dependency, the ISSO sets status to Blocked and fills in the blocker description and responsible party. Blocked items are flagged in dashboard counts.</w:t>
      </w:r>
    </w:p>
    <w:p>
      <w:pPr>
        <w:spacing w:after="8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poam-lifecycle-step-07-poam-blocked-form.png"/>
                    <pic:cNvPicPr/>
                  </pic:nvPicPr>
                  <pic:blipFill>
                    <a:blip r:embed="rId15"/>
                    <a:stretch>
                      <a:fillRect/>
                    </a:stretch>
                  </pic:blipFill>
                  <pic:spPr>
                    <a:xfrm>
                      <a:off x="0" y="0"/>
                      <a:ext cx="5943600" cy="3714750"/>
                    </a:xfrm>
                    <a:prstGeom prst="rect"/>
                  </pic:spPr>
                </pic:pic>
              </a:graphicData>
            </a:graphic>
          </wp:inline>
        </w:drawing>
      </w:r>
    </w:p>
    <w:p>
      <w:pPr>
        <w:spacing w:after="200"/>
        <w:jc w:val="center"/>
      </w:pPr>
      <w:r>
        <w:rPr>
          <w:i/>
          <w:color w:val="44475A"/>
          <w:sz w:val="16"/>
        </w:rPr>
        <w:t>Figure 7: Blocked status</w:t>
      </w:r>
    </w:p>
    <w:p>
      <w:pPr>
        <w:pStyle w:val="Heading2"/>
        <w:spacing w:before="280" w:after="80"/>
      </w:pPr>
      <w:r>
        <w:rPr>
          <w:color w:val="1A1A2E"/>
          <w:sz w:val="22"/>
        </w:rPr>
        <w:t>Step 8: Ready for Review status</w:t>
      </w:r>
    </w:p>
    <w:p>
      <w:pPr>
        <w:spacing w:after="120"/>
      </w:pPr>
      <w:r>
        <w:rPr>
          <w:sz w:val="20"/>
        </w:rPr>
        <w:t>SCA sets the item to Ready for Review after confirming remediation evidence. The ISSO and SCA both appear in the approval trail. The AO can now review the item.</w:t>
      </w:r>
    </w:p>
    <w:p>
      <w:pPr>
        <w:spacing w:after="80"/>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poam-lifecycle-step-08-poam-ready-for-review.png"/>
                    <pic:cNvPicPr/>
                  </pic:nvPicPr>
                  <pic:blipFill>
                    <a:blip r:embed="rId16"/>
                    <a:stretch>
                      <a:fillRect/>
                    </a:stretch>
                  </pic:blipFill>
                  <pic:spPr>
                    <a:xfrm>
                      <a:off x="0" y="0"/>
                      <a:ext cx="5943600" cy="3714750"/>
                    </a:xfrm>
                    <a:prstGeom prst="rect"/>
                  </pic:spPr>
                </pic:pic>
              </a:graphicData>
            </a:graphic>
          </wp:inline>
        </w:drawing>
      </w:r>
    </w:p>
    <w:p>
      <w:pPr>
        <w:spacing w:after="200"/>
        <w:jc w:val="center"/>
      </w:pPr>
      <w:r>
        <w:rPr>
          <w:i/>
          <w:color w:val="44475A"/>
          <w:sz w:val="16"/>
        </w:rPr>
        <w:t>Figure 8: Ready for Review status</w:t>
      </w:r>
    </w:p>
    <w:p>
      <w:pPr>
        <w:pStyle w:val="Heading2"/>
        <w:spacing w:before="280" w:after="80"/>
      </w:pPr>
      <w:r>
        <w:rPr>
          <w:color w:val="1A1A2E"/>
          <w:sz w:val="22"/>
        </w:rPr>
        <w:t>Step 9: Closed / Verified status</w:t>
      </w:r>
    </w:p>
    <w:p>
      <w:pPr>
        <w:spacing w:after="120"/>
      </w:pPr>
      <w:r>
        <w:rPr>
          <w:sz w:val="20"/>
        </w:rPr>
        <w:t>AO or admin marks the item Closed after verifying the closure evidence. A Completion Date must be entered. The approval trail records the closing official and timestamp. Closed items appear in the audit log.</w:t>
      </w:r>
    </w:p>
    <w:p>
      <w:pPr>
        <w:spacing w:after="80"/>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poam-lifecycle-step-09-poam-closed-verified.png"/>
                    <pic:cNvPicPr/>
                  </pic:nvPicPr>
                  <pic:blipFill>
                    <a:blip r:embed="rId17"/>
                    <a:stretch>
                      <a:fillRect/>
                    </a:stretch>
                  </pic:blipFill>
                  <pic:spPr>
                    <a:xfrm>
                      <a:off x="0" y="0"/>
                      <a:ext cx="5943600" cy="3714750"/>
                    </a:xfrm>
                    <a:prstGeom prst="rect"/>
                  </pic:spPr>
                </pic:pic>
              </a:graphicData>
            </a:graphic>
          </wp:inline>
        </w:drawing>
      </w:r>
    </w:p>
    <w:p>
      <w:pPr>
        <w:spacing w:after="200"/>
        <w:jc w:val="center"/>
      </w:pPr>
      <w:r>
        <w:rPr>
          <w:i/>
          <w:color w:val="44475A"/>
          <w:sz w:val="16"/>
        </w:rPr>
        <w:t>Figure 9: Closed / Verified status</w:t>
      </w:r>
    </w:p>
    <w:p>
      <w:pPr>
        <w:pStyle w:val="Heading2"/>
        <w:spacing w:before="280" w:after="80"/>
      </w:pPr>
      <w:r>
        <w:rPr>
          <w:color w:val="1A1A2E"/>
          <w:sz w:val="22"/>
        </w:rPr>
        <w:t>Step 10: Deferred / Waiver status</w:t>
      </w:r>
    </w:p>
    <w:p>
      <w:pPr>
        <w:spacing w:after="120"/>
      </w:pPr>
      <w:r>
        <w:rPr>
          <w:sz w:val="20"/>
        </w:rPr>
        <w:t>If remediation cannot be completed by the scheduled date, the ISSO requests a waiver. Fill in the waiver justification and new target date. AO approval is required to grant the waiver.</w:t>
      </w:r>
    </w:p>
    <w:p>
      <w:pPr>
        <w:spacing w:after="80"/>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poam-lifecycle-step-10-poam-deferred-waiver.png"/>
                    <pic:cNvPicPr/>
                  </pic:nvPicPr>
                  <pic:blipFill>
                    <a:blip r:embed="rId18"/>
                    <a:stretch>
                      <a:fillRect/>
                    </a:stretch>
                  </pic:blipFill>
                  <pic:spPr>
                    <a:xfrm>
                      <a:off x="0" y="0"/>
                      <a:ext cx="5943600" cy="3714750"/>
                    </a:xfrm>
                    <a:prstGeom prst="rect"/>
                  </pic:spPr>
                </pic:pic>
              </a:graphicData>
            </a:graphic>
          </wp:inline>
        </w:drawing>
      </w:r>
    </w:p>
    <w:p>
      <w:pPr>
        <w:spacing w:after="200"/>
        <w:jc w:val="center"/>
      </w:pPr>
      <w:r>
        <w:rPr>
          <w:i/>
          <w:color w:val="44475A"/>
          <w:sz w:val="16"/>
        </w:rPr>
        <w:t>Figure 10: Deferred / Waiver status</w:t>
      </w:r>
    </w:p>
    <w:p>
      <w:pPr>
        <w:pStyle w:val="Heading2"/>
        <w:spacing w:before="280" w:after="80"/>
      </w:pPr>
      <w:r>
        <w:rPr>
          <w:color w:val="1A1A2E"/>
          <w:sz w:val="22"/>
        </w:rPr>
        <w:t>Step 11: Accepted Risk status</w:t>
      </w:r>
    </w:p>
    <w:p>
      <w:pPr>
        <w:spacing w:after="120"/>
      </w:pPr>
      <w:r>
        <w:rPr>
          <w:sz w:val="20"/>
        </w:rPr>
        <w:t>For risks the organization chooses to accept rather than remediate, the ISSO sets status to Pending AO Acceptance with residual risk justification. The AO then approves or rejects the risk acceptance.</w:t>
      </w:r>
    </w:p>
    <w:p>
      <w:pPr>
        <w:spacing w:after="80"/>
        <w:jc w:val="center"/>
      </w:pPr>
      <w:r>
        <w:drawing>
          <wp:inline xmlns:a="http://schemas.openxmlformats.org/drawingml/2006/main" xmlns:pic="http://schemas.openxmlformats.org/drawingml/2006/picture">
            <wp:extent cx="5943600" cy="3714750"/>
            <wp:docPr id="11" name="Picture 11"/>
            <wp:cNvGraphicFramePr>
              <a:graphicFrameLocks noChangeAspect="1"/>
            </wp:cNvGraphicFramePr>
            <a:graphic>
              <a:graphicData uri="http://schemas.openxmlformats.org/drawingml/2006/picture">
                <pic:pic>
                  <pic:nvPicPr>
                    <pic:cNvPr id="0" name="poam-lifecycle-step-11-poam-accepted-risk.png"/>
                    <pic:cNvPicPr/>
                  </pic:nvPicPr>
                  <pic:blipFill>
                    <a:blip r:embed="rId19"/>
                    <a:stretch>
                      <a:fillRect/>
                    </a:stretch>
                  </pic:blipFill>
                  <pic:spPr>
                    <a:xfrm>
                      <a:off x="0" y="0"/>
                      <a:ext cx="5943600" cy="3714750"/>
                    </a:xfrm>
                    <a:prstGeom prst="rect"/>
                  </pic:spPr>
                </pic:pic>
              </a:graphicData>
            </a:graphic>
          </wp:inline>
        </w:drawing>
      </w:r>
    </w:p>
    <w:p>
      <w:pPr>
        <w:spacing w:after="200"/>
        <w:jc w:val="center"/>
      </w:pPr>
      <w:r>
        <w:rPr>
          <w:i/>
          <w:color w:val="44475A"/>
          <w:sz w:val="16"/>
        </w:rPr>
        <w:t>Figure 11: Accepted Risk status</w:t>
      </w:r>
    </w:p>
    <w:p>
      <w:pPr>
        <w:pStyle w:val="Heading2"/>
        <w:spacing w:before="280" w:after="80"/>
      </w:pPr>
      <w:r>
        <w:rPr>
          <w:color w:val="1A1A2E"/>
          <w:sz w:val="22"/>
        </w:rPr>
        <w:t>Step 12: False Positive status</w:t>
      </w:r>
    </w:p>
    <w:p>
      <w:pPr>
        <w:spacing w:after="120"/>
      </w:pPr>
      <w:r>
        <w:rPr>
          <w:sz w:val="20"/>
        </w:rPr>
        <w:t>If the finding is determined to be a false positive, the SCA documents the rationale and sets status to False Positive. No further action is required. The item remains in the audit trail.</w:t>
      </w:r>
    </w:p>
    <w:p>
      <w:pPr>
        <w:spacing w:after="80"/>
        <w:jc w:val="center"/>
      </w:pPr>
      <w:r>
        <w:drawing>
          <wp:inline xmlns:a="http://schemas.openxmlformats.org/drawingml/2006/main" xmlns:pic="http://schemas.openxmlformats.org/drawingml/2006/picture">
            <wp:extent cx="5943600" cy="3714750"/>
            <wp:docPr id="12" name="Picture 12"/>
            <wp:cNvGraphicFramePr>
              <a:graphicFrameLocks noChangeAspect="1"/>
            </wp:cNvGraphicFramePr>
            <a:graphic>
              <a:graphicData uri="http://schemas.openxmlformats.org/drawingml/2006/picture">
                <pic:pic>
                  <pic:nvPicPr>
                    <pic:cNvPr id="0" name="poam-lifecycle-step-12-poam-false-positive.png"/>
                    <pic:cNvPicPr/>
                  </pic:nvPicPr>
                  <pic:blipFill>
                    <a:blip r:embed="rId20"/>
                    <a:stretch>
                      <a:fillRect/>
                    </a:stretch>
                  </pic:blipFill>
                  <pic:spPr>
                    <a:xfrm>
                      <a:off x="0" y="0"/>
                      <a:ext cx="5943600" cy="3714750"/>
                    </a:xfrm>
                    <a:prstGeom prst="rect"/>
                  </pic:spPr>
                </pic:pic>
              </a:graphicData>
            </a:graphic>
          </wp:inline>
        </w:drawing>
      </w:r>
    </w:p>
    <w:p>
      <w:pPr>
        <w:spacing w:after="200"/>
        <w:jc w:val="center"/>
      </w:pPr>
      <w:r>
        <w:rPr>
          <w:i/>
          <w:color w:val="44475A"/>
          <w:sz w:val="16"/>
        </w:rPr>
        <w:t>Figure 12: False Positive status</w:t>
      </w:r>
    </w:p>
    <w:p>
      <w:pPr>
        <w:pStyle w:val="Heading2"/>
        <w:spacing w:before="320"/>
      </w:pPr>
      <w:r>
        <w:rPr>
          <w:color w:val="1E1E2E"/>
          <w:sz w:val="24"/>
        </w:rPr>
        <w:t>Common Issues and Resolutions</w:t>
      </w:r>
    </w:p>
    <w:tbl>
      <w:tblPr>
        <w:tblStyle w:val="TableGrid"/>
        <w:tblW w:type="auto" w:w="0"/>
        <w:jc w:val="left"/>
        <w:tblLook w:firstColumn="1" w:firstRow="1" w:lastColumn="0" w:lastRow="0" w:noHBand="0" w:noVBand="1" w:val="04A0"/>
      </w:tblPr>
      <w:tblGrid>
        <w:gridCol w:w="3600"/>
        <w:gridCol w:w="5760"/>
      </w:tblGrid>
      <w:tr>
        <w:tc>
          <w:tcPr>
            <w:tcW w:type="dxa" w:w="4680"/>
            <w:shd w:val="clear" w:color="auto" w:fill="1a1a2e"/>
          </w:tcPr>
          <w:p>
            <w:r>
              <w:rPr>
                <w:b/>
                <w:color w:val="FFFFFF"/>
                <w:sz w:val="18"/>
              </w:rPr>
              <w:t>Symptom</w:t>
            </w:r>
          </w:p>
        </w:tc>
        <w:tc>
          <w:tcPr>
            <w:tcW w:type="dxa" w:w="4680"/>
            <w:shd w:val="clear" w:color="auto" w:fill="1a1a2e"/>
          </w:tcPr>
          <w:p>
            <w:r>
              <w:rPr>
                <w:b/>
                <w:color w:val="FFFFFF"/>
                <w:sz w:val="18"/>
              </w:rPr>
              <w:t>Resolution</w:t>
            </w:r>
          </w:p>
        </w:tc>
      </w:tr>
      <w:tr>
        <w:tc>
          <w:tcPr>
            <w:tcW w:type="dxa" w:w="4680"/>
          </w:tcPr>
          <w:p>
            <w:r>
              <w:rPr>
                <w:sz w:val="18"/>
              </w:rPr>
              <w:t>Status button greyed out</w:t>
            </w:r>
          </w:p>
        </w:tc>
        <w:tc>
          <w:tcPr>
            <w:tcW w:type="dxa" w:w="4680"/>
          </w:tcPr>
          <w:p>
            <w:r>
              <w:rPr>
                <w:sz w:val="18"/>
              </w:rPr>
              <w:t>Your role does not have push-power for the target status. Check the POAM_PUSH_POWER role matrix.</w:t>
            </w:r>
          </w:p>
        </w:tc>
      </w:tr>
      <w:tr>
        <w:tc>
          <w:tcPr>
            <w:tcW w:type="dxa" w:w="4680"/>
          </w:tcPr>
          <w:p>
            <w:r>
              <w:rPr>
                <w:sz w:val="18"/>
              </w:rPr>
              <w:t>POA&amp;M ID not generated</w:t>
            </w:r>
          </w:p>
        </w:tc>
        <w:tc>
          <w:tcPr>
            <w:tcW w:type="dxa" w:w="4680"/>
          </w:tcPr>
          <w:p>
            <w:r>
              <w:rPr>
                <w:sz w:val="18"/>
              </w:rPr>
              <w:t>IDs are generated on save. If missing after save, check the database connection.</w:t>
            </w:r>
          </w:p>
        </w:tc>
      </w:tr>
      <w:tr>
        <w:tc>
          <w:tcPr>
            <w:tcW w:type="dxa" w:w="4680"/>
          </w:tcPr>
          <w:p>
            <w:r>
              <w:rPr>
                <w:sz w:val="18"/>
              </w:rPr>
              <w:t>Completion date field absent</w:t>
            </w:r>
          </w:p>
        </w:tc>
        <w:tc>
          <w:tcPr>
            <w:tcW w:type="dxa" w:w="4680"/>
          </w:tcPr>
          <w:p>
            <w:r>
              <w:rPr>
                <w:sz w:val="18"/>
              </w:rPr>
              <w:t>Completion date only appears for terminal statuses (Closed, Verified). Status must be terminal.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