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color w:val="44475A"/>
          <w:sz w:val="18"/>
        </w:rPr>
        <w:t>BLACKSITE GRC Platform  ·  THKR-BSV-001</w:t>
      </w:r>
    </w:p>
    <w:p>
      <w:pPr>
        <w:pStyle w:val="Heading1"/>
        <w:spacing w:before="80" w:after="120"/>
      </w:pPr>
      <w:r>
        <w:rPr>
          <w:color w:val="1E1E2E"/>
          <w:sz w:val="40"/>
        </w:rPr>
        <w:t>Risk Register Management</w:t>
      </w:r>
    </w:p>
    <w:p>
      <w:pPr>
        <w:spacing w:after="40"/>
      </w:pPr>
      <w:r>
        <w:rPr>
          <w:color w:val="44475A"/>
          <w:sz w:val="18"/>
        </w:rPr>
        <w:t>Roles:  ISSO, ISSM, Admin</w:t>
      </w:r>
    </w:p>
    <w:p>
      <w:pPr>
        <w:spacing w:after="40"/>
      </w:pPr>
      <w:r>
        <w:rPr>
          <w:color w:val="44475A"/>
          <w:sz w:val="18"/>
        </w:rPr>
        <w:t>Version:  1.0    |    Date:  2026-03-01    |    Classification:  INTERNAL USE ONLY</w:t>
      </w:r>
    </w:p>
    <w:p>
      <w:pPr>
        <w:spacing w:before="80" w:after="32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/>
      </w:pPr>
      <w:r>
        <w:rPr>
          <w:color w:val="1E1E2E"/>
          <w:sz w:val="24"/>
        </w:rPr>
        <w:t>Overview</w:t>
      </w:r>
    </w:p>
    <w:p>
      <w:pPr>
        <w:spacing w:after="200"/>
      </w:pPr>
      <w:r>
        <w:rPr>
          <w:sz w:val="20"/>
        </w:rPr>
        <w:t>The risk register tracks identified risks separate from POA&amp;M items. Risks include a likelihood × impact score matrix, treatment plan, and status. The heat map on the risk list provides a visual overview of the risk posture.</w:t>
      </w:r>
    </w:p>
    <w:p>
      <w:pPr>
        <w:pStyle w:val="Heading2"/>
        <w:spacing w:before="120"/>
      </w:pPr>
      <w:r>
        <w:rPr>
          <w:color w:val="1E1E2E"/>
          <w:sz w:val="24"/>
        </w:rPr>
        <w:t>Prerequisites</w:t>
      </w:r>
    </w:p>
    <w:p>
      <w:pPr>
        <w:pStyle w:val="ListBullet"/>
        <w:spacing w:after="40"/>
      </w:pPr>
      <w:r>
        <w:rPr>
          <w:sz w:val="20"/>
        </w:rPr>
        <w:t>System record with ISSO assigned.</w:t>
      </w:r>
    </w:p>
    <w:p>
      <w:pPr>
        <w:pStyle w:val="Heading2"/>
        <w:spacing w:before="320"/>
      </w:pPr>
      <w:r>
        <w:rPr>
          <w:color w:val="1E1E2E"/>
          <w:sz w:val="24"/>
        </w:rPr>
        <w:t>Procedure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1: View the risk list</w:t>
      </w:r>
    </w:p>
    <w:p>
      <w:pPr>
        <w:spacing w:after="120"/>
      </w:pPr>
      <w:r>
        <w:rPr>
          <w:sz w:val="20"/>
        </w:rPr>
        <w:t>Navigate to /risks. All risks across your assigned systems are listed with risk level badges (Critical/High/Moderate/Low), system name, likelihood, impact, and treatment status. The risk heat map appears above the table.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-register-step-01-risks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1: View the risk list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2: Create a new risk</w:t>
      </w:r>
    </w:p>
    <w:p>
      <w:pPr>
        <w:spacing w:after="120"/>
      </w:pPr>
      <w:r>
        <w:rPr>
          <w:sz w:val="20"/>
        </w:rPr>
        <w:t>Click + New Risk. Fill in: System, Title, Description, Likelihood (1–5), Impact (1–5), Treatment Plan, and Status (Open/Mitigated/Accepted/Closed). The Risk Score and Level are computed automatically (Likelihood × Impact).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-register-step-02-risk-new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2: Create a new risk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3: View risk detail</w:t>
      </w:r>
    </w:p>
    <w:p>
      <w:pPr>
        <w:spacing w:after="120"/>
      </w:pPr>
      <w:r>
        <w:rPr>
          <w:sz w:val="20"/>
        </w:rPr>
        <w:t>Click a risk row to open its detail page. The detail shows all fields, the computed risk level, treatment plan, and creation/modification history. Edit any field and click Save to update.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-register-step-03-risk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3: View risk detail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4: Export risk register</w:t>
      </w:r>
    </w:p>
    <w:p>
      <w:pPr>
        <w:spacing w:after="120"/>
      </w:pPr>
      <w:r>
        <w:rPr>
          <w:sz w:val="20"/>
        </w:rPr>
        <w:t>Navigate to /risks/export to download the full risk register as CSV or XLSX. The export includes computed risk scores, treatment plans, and status. Use for risk management reporting.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-register-step-04-risks-ex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4: Export risk register</w:t>
      </w:r>
    </w:p>
    <w:p>
      <w:pPr>
        <w:pStyle w:val="Heading2"/>
        <w:spacing w:before="320"/>
      </w:pPr>
      <w:r>
        <w:rPr>
          <w:color w:val="1E1E2E"/>
          <w:sz w:val="24"/>
        </w:rPr>
        <w:t>Common Issues and Resolutions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Risk score shows 0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Both Likelihood and Impact must be set (1–5). Verify both fields are filled.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Risk level shows Low for high scores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Risk level is computed as L×I. A score of 15 is Critical. Check if fields saved correctly.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