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24"/>
          <w:szCs w:val="24"/>
          <w:u w:val="single"/>
        </w:rPr>
      </w:pPr>
      <w:r w:rsidDel="00000000" w:rsidR="00000000" w:rsidRPr="00000000">
        <w:rPr>
          <w:b w:val="1"/>
          <w:bCs w:val="1"/>
          <w:sz w:val="24"/>
          <w:szCs w:val="24"/>
          <w:u w:val="single"/>
          <w:rtl w:val="0"/>
        </w:rPr>
        <w:t xml:space="preserve">EDA REPORT ON COMPREHENSIVE PERSONAL LOAN DEFAULT RISK FACTORS</w:t>
      </w:r>
    </w:p>
    <w:p w:rsidR="00000000" w:rsidDel="00000000" w:rsidP="00000000" w:rsidRDefault="00000000" w:rsidRPr="00000000" w14:paraId="00000002">
      <w:pPr>
        <w:spacing w:after="240" w:before="240" w:lineRule="auto"/>
        <w:rPr/>
      </w:pPr>
      <w:r w:rsidDel="00000000" w:rsidR="00000000" w:rsidRPr="00000000">
        <w:rPr>
          <w:rtl w:val="0"/>
        </w:rPr>
        <w:t xml:space="preserve"> </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EXECUTIVE SUMMARY</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This report brings together all the findings from the Exploratory Data Analysis (EDA) to give a complete picture of personal loan default risk. We looked at factors such as age, income, job type, marital status, and location to understand what increases the chances of a borrower failing to repay a loan.</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One of the most important findings is that a person’s profession plays a major role in whether they are likely to repay their loan. Some occupations show much lower risk than others.</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These findings give the loans department the information they need to build an accurate automated risk scoring system. This system will help reduce loan defaults and make lending decisions more consistent and structured.</w:t>
      </w:r>
    </w:p>
    <w:p w:rsidR="00000000" w:rsidDel="00000000" w:rsidP="00000000" w:rsidRDefault="00000000" w:rsidRPr="00000000" w14:paraId="00000007">
      <w:pPr>
        <w:spacing w:after="240" w:before="240" w:lineRule="auto"/>
        <w:jc w:val="both"/>
        <w:rPr>
          <w:b w:val="1"/>
          <w:bCs w:val="1"/>
        </w:rPr>
      </w:pPr>
      <w:r w:rsidDel="00000000" w:rsidR="00000000" w:rsidRPr="00000000">
        <w:rPr>
          <w:b w:val="1"/>
          <w:bCs w:val="1"/>
          <w:rtl w:val="0"/>
        </w:rPr>
        <w:t xml:space="preserve"> BUSINESS PROBLEM</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Alpha Dreamers Banking Consortium wants to improve and automate its loan approval process because the number of customers failing to repay personal loans is increasing. At the moment, lending decisions are not fully guided by a structured, data-based system. This creates inconsistency and increases financial risk for the bank.</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The main problem is the lack of a reliable system that can accurately predict which applicants are likely to default. Without a clear risk framework, the bank may approve high-risk customers and reject low-risk ones.</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The key question guiding this analysis was:</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combination of applicant characteristics best identifies a high-risk borrower?”</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To answer this question, as a BI technician I analyzed several important factors, including Income, Age, Car Ownership, Marital Status, Years of Experience, Job Stability, State of Residence, and Profession Type. By combining all these variables, i developed a clearer understanding of what drives loan default.</w:t>
      </w:r>
    </w:p>
    <w:p w:rsidR="00000000" w:rsidDel="00000000" w:rsidP="00000000" w:rsidRDefault="00000000" w:rsidRPr="00000000" w14:paraId="0000000D">
      <w:pPr>
        <w:spacing w:after="240" w:before="240" w:lineRule="auto"/>
        <w:jc w:val="both"/>
        <w:rPr>
          <w:b w:val="1"/>
          <w:bCs w:val="1"/>
        </w:rPr>
      </w:pPr>
      <w:r w:rsidDel="00000000" w:rsidR="00000000" w:rsidRPr="00000000">
        <w:rPr>
          <w:b w:val="1"/>
          <w:bCs w:val="1"/>
          <w:rtl w:val="0"/>
        </w:rPr>
        <w:t xml:space="preserve">EXPANDED EXPLANATION OF  FINDINGS FROM EXPLORATORY DATA ANALYSIS (EDA)</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Below is a detailed explanation derived from  charts and tables created during the EDA process. Each visual was used to understand what increases or decreases the risk of loan default.</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The analysis of the loan dataset reveals clear and consistent patterns in borrower behavior. These patterns show that loan default risk is not random. Instead, it is strongly influenced by income level, age, car ownership, marital status, work experience, geographic location, and profession type. Each of these factors plays an important role in determining whether a borrower is likely to repay a loan.</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 </w:t>
      </w:r>
    </w:p>
    <w:p w:rsidR="00000000" w:rsidDel="00000000" w:rsidP="00000000" w:rsidRDefault="00000000" w:rsidRPr="00000000" w14:paraId="00000011">
      <w:pPr>
        <w:spacing w:after="240" w:before="24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012">
      <w:pPr>
        <w:spacing w:after="240" w:before="24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013">
      <w:pPr>
        <w:spacing w:after="240" w:before="240" w:lineRule="auto"/>
        <w:jc w:val="both"/>
        <w:rPr>
          <w:b w:val="1"/>
          <w:bCs w:val="1"/>
        </w:rPr>
      </w:pPr>
      <w:r w:rsidDel="00000000" w:rsidR="00000000" w:rsidRPr="00000000">
        <w:rPr>
          <w:b w:val="1"/>
          <w:bCs w:val="1"/>
          <w:rtl w:val="0"/>
        </w:rPr>
        <w:t xml:space="preserve">Income Bracket and Default Risk</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The first graph compares default risk across three income groups: Low, Middle, and High income earners. Normally, we would expect low-income earners to show much higher default rates than high-income earners. However, the chart shows that the risk levels across all three income groups are almost the same.</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Although there is a slight downward pattern as income increases, the difference is very small. The risk flag values for all three groups are close together, meaning income alone does not strongly separate high-risk borrowers from low-risk borrowers in this dataset.</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This is a surprising finding. It suggests that higher income does not automatically guarantee lower default risk.</w:t>
      </w:r>
    </w:p>
    <w:p w:rsidR="00000000" w:rsidDel="00000000" w:rsidP="00000000" w:rsidRDefault="00000000" w:rsidRPr="00000000" w14:paraId="00000017">
      <w:pPr>
        <w:spacing w:after="240" w:before="240" w:lineRule="auto"/>
        <w:jc w:val="both"/>
        <w:rPr>
          <w:b w:val="1"/>
          <w:bCs w:val="1"/>
        </w:rPr>
      </w:pPr>
      <w:r w:rsidDel="00000000" w:rsidR="00000000" w:rsidRPr="00000000">
        <w:rPr>
          <w:b w:val="1"/>
          <w:bCs w:val="1"/>
          <w:rtl w:val="0"/>
        </w:rPr>
        <w:t xml:space="preserve">Age Category</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Age also showed a meaningful pattern. The graph formed a U-shaped trend, meaning risk is higher at the early and later stages of life, and lowest in the middle years. Younger borrowers tend to have higher default rates, possibly because they have less work experience, unstable income, or limited credit history. Senior borrowers also show increased risk, which may be due to fixed or reduced income after retirement. In contrast, middle-aged individuals usually have more stable careers and are at their peak earning stage. This makes them more financially secure and less likely to default.</w:t>
      </w:r>
    </w:p>
    <w:p w:rsidR="00000000" w:rsidDel="00000000" w:rsidP="00000000" w:rsidRDefault="00000000" w:rsidRPr="00000000" w14:paraId="00000019">
      <w:pPr>
        <w:spacing w:after="240" w:before="240" w:lineRule="auto"/>
        <w:jc w:val="both"/>
        <w:rPr>
          <w:b w:val="1"/>
          <w:bCs w:val="1"/>
        </w:rPr>
      </w:pPr>
      <w:r w:rsidDel="00000000" w:rsidR="00000000" w:rsidRPr="00000000">
        <w:rPr>
          <w:b w:val="1"/>
          <w:bCs w:val="1"/>
          <w:rtl w:val="0"/>
        </w:rPr>
        <w:t xml:space="preserve">Car Ownership</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Car ownership is another factor linked to default risk. The data shows that individuals who own a car have lower default rates compared to those who do not. Owning a car may indicate financial strength and responsibility. It suggests that the person has the ability to purchase and maintain an asset, manage insurance payments, and cover maintenance costs. Although car ownership alone does not guarantee repayment, it serves as a useful supporting indicator of financial stability.</w:t>
      </w:r>
    </w:p>
    <w:p w:rsidR="00000000" w:rsidDel="00000000" w:rsidP="00000000" w:rsidRDefault="00000000" w:rsidRPr="00000000" w14:paraId="0000001B">
      <w:pPr>
        <w:spacing w:after="240" w:before="240" w:lineRule="auto"/>
        <w:jc w:val="both"/>
        <w:rPr>
          <w:b w:val="1"/>
          <w:bCs w:val="1"/>
        </w:rPr>
      </w:pPr>
      <w:r w:rsidDel="00000000" w:rsidR="00000000" w:rsidRPr="00000000">
        <w:rPr>
          <w:b w:val="1"/>
          <w:bCs w:val="1"/>
          <w:rtl w:val="0"/>
        </w:rPr>
        <w:t xml:space="preserve">Marital Status</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Marital status also influences risk. The analysis shows that married applicants tend to have lower default rates compared to single applicants. This difference may be explained by shared financial responsibilities within a household. In many cases, married couples may have two income earners, shared living expenses, and more structured financial planning. While the gap between single and married applicants is not extremely large, it is still meaningful enough to include in the overall risk assessment.</w:t>
      </w:r>
    </w:p>
    <w:p w:rsidR="00000000" w:rsidDel="00000000" w:rsidP="00000000" w:rsidRDefault="00000000" w:rsidRPr="00000000" w14:paraId="0000001D">
      <w:pPr>
        <w:spacing w:after="240" w:before="240" w:lineRule="auto"/>
        <w:jc w:val="both"/>
        <w:rPr>
          <w:b w:val="1"/>
          <w:bCs w:val="1"/>
        </w:rPr>
      </w:pPr>
      <w:r w:rsidDel="00000000" w:rsidR="00000000" w:rsidRPr="00000000">
        <w:rPr>
          <w:b w:val="1"/>
          <w:bCs w:val="1"/>
          <w:rtl w:val="0"/>
        </w:rPr>
        <w:t xml:space="preserve">Experience Level</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Work experience shows a clear step-by-step pattern. As experience increases, default risk decreases. Junior employees with 0–2 years of experience have the highest default risk, while senior professionals with over 10 years of experience have the lowest risk. This pattern suggests that professional maturity reduces financial risk. More experience often leads to higher income, stable employment, and better financial discipline.</w:t>
      </w:r>
    </w:p>
    <w:p w:rsidR="00000000" w:rsidDel="00000000" w:rsidP="00000000" w:rsidRDefault="00000000" w:rsidRPr="00000000" w14:paraId="0000001F">
      <w:pPr>
        <w:spacing w:after="240" w:before="240" w:lineRule="auto"/>
        <w:jc w:val="both"/>
        <w:rPr>
          <w:b w:val="1"/>
          <w:bCs w:val="1"/>
        </w:rPr>
      </w:pPr>
      <w:r w:rsidDel="00000000" w:rsidR="00000000" w:rsidRPr="00000000">
        <w:rPr>
          <w:b w:val="1"/>
          <w:bCs w:val="1"/>
          <w:rtl w:val="0"/>
        </w:rPr>
        <w:t xml:space="preserve">Job Stability</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Although non-defaulters appear slightly more stable, the difference between the two groups is not as dramatic as expected. This means that job stability, while important, may not fully explain why some borrowers default.</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This finding suggests that even individuals with stable employment can still default. Therefore, job stability should not be used alone to determine risk.</w:t>
      </w:r>
    </w:p>
    <w:p w:rsidR="00000000" w:rsidDel="00000000" w:rsidP="00000000" w:rsidRDefault="00000000" w:rsidRPr="00000000" w14:paraId="00000022">
      <w:pPr>
        <w:spacing w:after="240" w:before="240" w:lineRule="auto"/>
        <w:jc w:val="both"/>
        <w:rPr>
          <w:b w:val="1"/>
          <w:bCs w:val="1"/>
        </w:rPr>
      </w:pPr>
      <w:r w:rsidDel="00000000" w:rsidR="00000000" w:rsidRPr="00000000">
        <w:rPr>
          <w:b w:val="1"/>
          <w:bCs w:val="1"/>
          <w:rtl w:val="0"/>
        </w:rPr>
        <w:t xml:space="preserve">Geographical Location (State)</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Geographic location also plays a significant role. The state-wise analysis shows that default risk differs across regions. For example, Manipur has a much higher default rate compared to Sikkim. In fact, the risk level in Manipur is more than four times higher than in Sikkim. This suggests that regional economic conditions, employment opportunities, cost of living, and local market stability may influence repayment behavior. Because of this variation, geographic location should be included in a risk assessment.</w:t>
      </w:r>
    </w:p>
    <w:p w:rsidR="00000000" w:rsidDel="00000000" w:rsidP="00000000" w:rsidRDefault="00000000" w:rsidRPr="00000000" w14:paraId="00000024">
      <w:pPr>
        <w:spacing w:after="240" w:before="240" w:lineRule="auto"/>
        <w:jc w:val="both"/>
        <w:rPr>
          <w:b w:val="1"/>
          <w:bCs w:val="1"/>
        </w:rPr>
      </w:pPr>
      <w:r w:rsidDel="00000000" w:rsidR="00000000" w:rsidRPr="00000000">
        <w:rPr>
          <w:b w:val="1"/>
          <w:bCs w:val="1"/>
          <w:rtl w:val="0"/>
        </w:rPr>
        <w:t xml:space="preserve">Profession Type</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Profession type shows some of the largest differences in default risk. Business professionals have the highest risk level. This may be because business income can be unstable and affected by market conditions. Technical and entertainment professions show moderate risk, possibly due to contract-based or freelance work. In contrast, IT professionals show the lowest risk by a wide margin. IT jobs often provide stable salaries, strong job demand, and consistent income documentation. This makes profession type one of the most powerful predictors in the entire analysis.</w:t>
      </w:r>
    </w:p>
    <w:p w:rsidR="00000000" w:rsidDel="00000000" w:rsidP="00000000" w:rsidRDefault="00000000" w:rsidRPr="00000000" w14:paraId="00000026">
      <w:pPr>
        <w:spacing w:after="240" w:before="240" w:lineRule="auto"/>
        <w:jc w:val="both"/>
        <w:rPr>
          <w:b w:val="1"/>
          <w:bCs w:val="1"/>
        </w:rPr>
      </w:pPr>
      <w:r w:rsidDel="00000000" w:rsidR="00000000" w:rsidRPr="00000000">
        <w:rPr>
          <w:b w:val="1"/>
          <w:bCs w:val="1"/>
          <w:rtl w:val="0"/>
        </w:rPr>
        <w:t xml:space="preserve">Conclusions</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Overall, the findings clearly demonstrate that loan default risk follows recognizable patterns. High risk is strongly associated with low income, young or senior age, low work experience, being single, not having a car, business profession, and certain geographic regions. Low risk is linked to high income, middle age, long work experience, being married, having a car, IT profession, and stable regions.</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These findings provide strong evidence that a structured and automated risk scoring system can accurately predict default behavior. By combining these variables into a model, the bank can significantly reduce loan losses, improve consistency in decision-making, and strengthen the overall health of its loan portfolio.</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