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E8894" w14:textId="77777777" w:rsidR="00645A15" w:rsidRDefault="00645A15">
      <w:pPr>
        <w:spacing w:before="600"/>
      </w:pPr>
    </w:p>
    <w:p w14:paraId="0F7A7168" w14:textId="77777777" w:rsidR="00645A15" w:rsidRDefault="002068AE">
      <w:pPr>
        <w:spacing w:after="60"/>
        <w:jc w:val="center"/>
      </w:pPr>
      <w:r>
        <w:rPr>
          <w:b/>
          <w:bCs/>
          <w:color w:val="1F497D"/>
          <w:sz w:val="56"/>
          <w:szCs w:val="56"/>
        </w:rPr>
        <w:t>COVID-19 Time Series Analysis</w:t>
      </w:r>
    </w:p>
    <w:p w14:paraId="675D5BE0" w14:textId="77777777" w:rsidR="00645A15" w:rsidRDefault="002068AE">
      <w:pPr>
        <w:spacing w:after="80"/>
        <w:jc w:val="center"/>
      </w:pPr>
      <w:r>
        <w:rPr>
          <w:color w:val="2E75B6"/>
          <w:sz w:val="32"/>
          <w:szCs w:val="32"/>
        </w:rPr>
        <w:t>United States | January 2020 – March 2023</w:t>
      </w:r>
    </w:p>
    <w:p w14:paraId="039A89F4" w14:textId="77777777" w:rsidR="00645A15" w:rsidRDefault="00645A15">
      <w:pPr>
        <w:pBdr>
          <w:bottom w:val="single" w:sz="12" w:space="4" w:color="2E75B6"/>
        </w:pBdr>
        <w:spacing w:after="240"/>
        <w:jc w:val="center"/>
      </w:pPr>
    </w:p>
    <w:p w14:paraId="5AAB067E" w14:textId="77777777" w:rsidR="00645A15" w:rsidRDefault="00645A15">
      <w:pPr>
        <w:spacing w:before="200"/>
      </w:pPr>
    </w:p>
    <w:p w14:paraId="6E24FA18" w14:textId="77777777" w:rsidR="00645A15" w:rsidRDefault="002068AE">
      <w:pPr>
        <w:spacing w:after="60"/>
        <w:jc w:val="center"/>
      </w:pPr>
      <w:r>
        <w:rPr>
          <w:b/>
          <w:bCs/>
          <w:color w:val="444444"/>
          <w:sz w:val="28"/>
          <w:szCs w:val="28"/>
        </w:rPr>
        <w:t>Insight Generation, Forecasting &amp; Policy Report</w:t>
      </w:r>
    </w:p>
    <w:p w14:paraId="1B9B6142" w14:textId="77777777" w:rsidR="00645A15" w:rsidRDefault="00645A15">
      <w:pPr>
        <w:spacing w:before="40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645A15" w14:paraId="2F5B1BD6" w14:textId="77777777">
        <w:tc>
          <w:tcPr>
            <w:tcW w:w="3000" w:type="dxa"/>
            <w:tcBorders>
              <w:top w:val="single" w:sz="1" w:space="0" w:color="CCCCCC"/>
              <w:left w:val="single" w:sz="1" w:space="0" w:color="CCCCCC"/>
              <w:bottom w:val="single" w:sz="1" w:space="0" w:color="CCCCCC"/>
              <w:right w:val="single" w:sz="1" w:space="0" w:color="CCCCCC"/>
            </w:tcBorders>
            <w:shd w:val="clear" w:color="auto" w:fill="D9E2F3"/>
            <w:tcMar>
              <w:top w:w="100" w:type="dxa"/>
              <w:left w:w="160" w:type="dxa"/>
              <w:bottom w:w="100" w:type="dxa"/>
              <w:right w:w="160" w:type="dxa"/>
            </w:tcMar>
          </w:tcPr>
          <w:p w14:paraId="32EEE23D" w14:textId="77777777" w:rsidR="00645A15" w:rsidRDefault="002068AE">
            <w:r>
              <w:rPr>
                <w:b/>
                <w:bCs/>
              </w:rPr>
              <w:t>Course</w:t>
            </w:r>
          </w:p>
        </w:tc>
        <w:tc>
          <w:tcPr>
            <w:tcW w:w="3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16A2005" w14:textId="77777777" w:rsidR="00645A15" w:rsidRDefault="002068AE">
            <w:r>
              <w:t>Data Science &amp; Analytics</w:t>
            </w:r>
          </w:p>
        </w:tc>
      </w:tr>
      <w:tr w:rsidR="00645A15" w14:paraId="4CD3EB2E" w14:textId="77777777">
        <w:tc>
          <w:tcPr>
            <w:tcW w:w="3000" w:type="dxa"/>
            <w:tcBorders>
              <w:top w:val="single" w:sz="1" w:space="0" w:color="CCCCCC"/>
              <w:left w:val="single" w:sz="1" w:space="0" w:color="CCCCCC"/>
              <w:bottom w:val="single" w:sz="1" w:space="0" w:color="CCCCCC"/>
              <w:right w:val="single" w:sz="1" w:space="0" w:color="CCCCCC"/>
            </w:tcBorders>
            <w:shd w:val="clear" w:color="auto" w:fill="D9E2F3"/>
            <w:tcMar>
              <w:top w:w="100" w:type="dxa"/>
              <w:left w:w="160" w:type="dxa"/>
              <w:bottom w:w="100" w:type="dxa"/>
              <w:right w:w="160" w:type="dxa"/>
            </w:tcMar>
          </w:tcPr>
          <w:p w14:paraId="5547A72C" w14:textId="77777777" w:rsidR="00645A15" w:rsidRDefault="002068AE">
            <w:r>
              <w:rPr>
                <w:b/>
                <w:bCs/>
              </w:rPr>
              <w:t>Project</w:t>
            </w:r>
          </w:p>
        </w:tc>
        <w:tc>
          <w:tcPr>
            <w:tcW w:w="3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8E5394C" w14:textId="77777777" w:rsidR="00645A15" w:rsidRDefault="002068AE">
            <w:r>
              <w:t>Project 3 — Time Series &amp; Forecasting</w:t>
            </w:r>
          </w:p>
        </w:tc>
      </w:tr>
      <w:tr w:rsidR="00645A15" w14:paraId="64996C2D" w14:textId="77777777">
        <w:tc>
          <w:tcPr>
            <w:tcW w:w="3000" w:type="dxa"/>
            <w:tcBorders>
              <w:top w:val="single" w:sz="1" w:space="0" w:color="CCCCCC"/>
              <w:left w:val="single" w:sz="1" w:space="0" w:color="CCCCCC"/>
              <w:bottom w:val="single" w:sz="1" w:space="0" w:color="CCCCCC"/>
              <w:right w:val="single" w:sz="1" w:space="0" w:color="CCCCCC"/>
            </w:tcBorders>
            <w:shd w:val="clear" w:color="auto" w:fill="D9E2F3"/>
            <w:tcMar>
              <w:top w:w="100" w:type="dxa"/>
              <w:left w:w="160" w:type="dxa"/>
              <w:bottom w:w="100" w:type="dxa"/>
              <w:right w:w="160" w:type="dxa"/>
            </w:tcMar>
          </w:tcPr>
          <w:p w14:paraId="78F223FE" w14:textId="77777777" w:rsidR="00645A15" w:rsidRDefault="002068AE">
            <w:r>
              <w:rPr>
                <w:b/>
                <w:bCs/>
              </w:rPr>
              <w:t>Dataset</w:t>
            </w:r>
          </w:p>
        </w:tc>
        <w:tc>
          <w:tcPr>
            <w:tcW w:w="3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C5BB0C5" w14:textId="77777777" w:rsidR="00645A15" w:rsidRDefault="002068AE">
            <w:r>
              <w:t>Johns Hopkins CSSE COVID-19 Data</w:t>
            </w:r>
          </w:p>
        </w:tc>
      </w:tr>
      <w:tr w:rsidR="00645A15" w14:paraId="46ABC089" w14:textId="77777777">
        <w:tc>
          <w:tcPr>
            <w:tcW w:w="3000" w:type="dxa"/>
            <w:tcBorders>
              <w:top w:val="single" w:sz="1" w:space="0" w:color="CCCCCC"/>
              <w:left w:val="single" w:sz="1" w:space="0" w:color="CCCCCC"/>
              <w:bottom w:val="single" w:sz="1" w:space="0" w:color="CCCCCC"/>
              <w:right w:val="single" w:sz="1" w:space="0" w:color="CCCCCC"/>
            </w:tcBorders>
            <w:shd w:val="clear" w:color="auto" w:fill="D9E2F3"/>
            <w:tcMar>
              <w:top w:w="100" w:type="dxa"/>
              <w:left w:w="160" w:type="dxa"/>
              <w:bottom w:w="100" w:type="dxa"/>
              <w:right w:w="160" w:type="dxa"/>
            </w:tcMar>
          </w:tcPr>
          <w:p w14:paraId="6CD7E8DD" w14:textId="77777777" w:rsidR="00645A15" w:rsidRDefault="002068AE">
            <w:r>
              <w:rPr>
                <w:b/>
                <w:bCs/>
              </w:rPr>
              <w:t>Date Range</w:t>
            </w:r>
          </w:p>
        </w:tc>
        <w:tc>
          <w:tcPr>
            <w:tcW w:w="30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20D636B" w14:textId="77777777" w:rsidR="00645A15" w:rsidRDefault="002068AE">
            <w:r>
              <w:t>22 January 2020 – 9 March 2023</w:t>
            </w:r>
          </w:p>
        </w:tc>
      </w:tr>
    </w:tbl>
    <w:p w14:paraId="4606183E" w14:textId="77777777" w:rsidR="00645A15" w:rsidRDefault="002068AE">
      <w:r>
        <w:br w:type="page"/>
      </w:r>
    </w:p>
    <w:p w14:paraId="72DCDF82" w14:textId="77777777" w:rsidR="00645A15" w:rsidRDefault="002068AE">
      <w:pPr>
        <w:pStyle w:val="Heading1"/>
      </w:pPr>
      <w:r>
        <w:lastRenderedPageBreak/>
        <w:t>1. Executive Summary</w:t>
      </w:r>
    </w:p>
    <w:p w14:paraId="1E776807" w14:textId="77777777" w:rsidR="00645A15" w:rsidRDefault="002068AE" w:rsidP="0036048F">
      <w:pPr>
        <w:spacing w:before="60" w:after="60"/>
        <w:jc w:val="both"/>
      </w:pPr>
      <w:r>
        <w:t xml:space="preserve">This report presents a comprehensive time series analysis of COVID-19 confirmed cases and deaths across US counties and states, using the Johns Hopkins University CSSE dataset covering 1,143 days from January 2020 through March 2023. The analysis addresses four core objectives: data </w:t>
      </w:r>
      <w:r w:rsidR="0036048F">
        <w:t>pre-processing</w:t>
      </w:r>
      <w:r>
        <w:t xml:space="preserve"> and descriptive analysis; statistical and deep-learning forecasting; identification of high-risk regions and peak fatality windows; and derivation of evidence-based policy recommendations.</w:t>
      </w:r>
    </w:p>
    <w:p w14:paraId="65DE9A4D" w14:textId="77777777" w:rsidR="00645A15" w:rsidRDefault="00645A1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645A15" w14:paraId="2AA53D2D" w14:textId="77777777">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40" w:type="dxa"/>
              <w:bottom w:w="80" w:type="dxa"/>
              <w:right w:w="140" w:type="dxa"/>
            </w:tcMar>
          </w:tcPr>
          <w:p w14:paraId="27D259EF" w14:textId="77777777" w:rsidR="00645A15" w:rsidRDefault="002068AE">
            <w:r>
              <w:rPr>
                <w:b/>
                <w:bCs/>
                <w:color w:val="FFFFFF"/>
                <w:sz w:val="20"/>
                <w:szCs w:val="20"/>
              </w:rPr>
              <w:t>Metric</w:t>
            </w:r>
          </w:p>
        </w:tc>
        <w:tc>
          <w:tcPr>
            <w:tcW w:w="516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40" w:type="dxa"/>
              <w:bottom w:w="80" w:type="dxa"/>
              <w:right w:w="140" w:type="dxa"/>
            </w:tcMar>
          </w:tcPr>
          <w:p w14:paraId="4BD0F71F" w14:textId="77777777" w:rsidR="00645A15" w:rsidRDefault="002068AE">
            <w:r>
              <w:rPr>
                <w:b/>
                <w:bCs/>
                <w:color w:val="FFFFFF"/>
                <w:sz w:val="20"/>
                <w:szCs w:val="20"/>
              </w:rPr>
              <w:t>Value</w:t>
            </w:r>
          </w:p>
        </w:tc>
      </w:tr>
      <w:tr w:rsidR="00645A15" w14:paraId="6372866B" w14:textId="77777777">
        <w:tc>
          <w:tcPr>
            <w:tcW w:w="4200" w:type="dxa"/>
            <w:tcBorders>
              <w:top w:val="single" w:sz="1" w:space="0" w:color="CCCCCC"/>
              <w:left w:val="single" w:sz="1" w:space="0" w:color="CCCCCC"/>
              <w:bottom w:val="single" w:sz="1" w:space="0" w:color="CCCCCC"/>
              <w:right w:val="single" w:sz="1" w:space="0" w:color="CCCCCC"/>
            </w:tcBorders>
            <w:shd w:val="clear" w:color="auto" w:fill="D9E2F3"/>
            <w:tcMar>
              <w:top w:w="70" w:type="dxa"/>
              <w:left w:w="140" w:type="dxa"/>
              <w:bottom w:w="70" w:type="dxa"/>
              <w:right w:w="140" w:type="dxa"/>
            </w:tcMar>
          </w:tcPr>
          <w:p w14:paraId="2028A3D1" w14:textId="77777777" w:rsidR="00645A15" w:rsidRDefault="002068AE">
            <w:r>
              <w:rPr>
                <w:b/>
                <w:bCs/>
                <w:sz w:val="20"/>
                <w:szCs w:val="20"/>
              </w:rPr>
              <w:t>Total US Confirmed Cases</w:t>
            </w:r>
          </w:p>
        </w:tc>
        <w:tc>
          <w:tcPr>
            <w:tcW w:w="5160" w:type="dxa"/>
            <w:tcBorders>
              <w:top w:val="single" w:sz="1" w:space="0" w:color="CCCCCC"/>
              <w:left w:val="single" w:sz="1" w:space="0" w:color="CCCCCC"/>
              <w:bottom w:val="single" w:sz="1" w:space="0" w:color="CCCCCC"/>
              <w:right w:val="single" w:sz="1" w:space="0" w:color="CCCCCC"/>
            </w:tcBorders>
            <w:shd w:val="clear" w:color="auto" w:fill="D9E2F3"/>
            <w:tcMar>
              <w:top w:w="70" w:type="dxa"/>
              <w:left w:w="140" w:type="dxa"/>
              <w:bottom w:w="70" w:type="dxa"/>
              <w:right w:w="140" w:type="dxa"/>
            </w:tcMar>
          </w:tcPr>
          <w:p w14:paraId="522152CE" w14:textId="77777777" w:rsidR="00645A15" w:rsidRDefault="002068AE">
            <w:r>
              <w:rPr>
                <w:sz w:val="20"/>
                <w:szCs w:val="20"/>
              </w:rPr>
              <w:t>103,802,702</w:t>
            </w:r>
          </w:p>
        </w:tc>
      </w:tr>
      <w:tr w:rsidR="00645A15" w14:paraId="32FF9B1E"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3B9BB20E" w14:textId="77777777" w:rsidR="00645A15" w:rsidRDefault="002068AE">
            <w:r>
              <w:rPr>
                <w:b/>
                <w:bCs/>
                <w:sz w:val="20"/>
                <w:szCs w:val="20"/>
              </w:rPr>
              <w:t>Total US Deaths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5F0A8E3D" w14:textId="77777777" w:rsidR="00645A15" w:rsidRDefault="002068AE">
            <w:r>
              <w:rPr>
                <w:sz w:val="20"/>
                <w:szCs w:val="20"/>
              </w:rPr>
              <w:t>1,123,836</w:t>
            </w:r>
          </w:p>
        </w:tc>
      </w:tr>
      <w:tr w:rsidR="00645A15" w14:paraId="361CE2DD" w14:textId="77777777">
        <w:tc>
          <w:tcPr>
            <w:tcW w:w="4200" w:type="dxa"/>
            <w:tcBorders>
              <w:top w:val="single" w:sz="1" w:space="0" w:color="CCCCCC"/>
              <w:left w:val="single" w:sz="1" w:space="0" w:color="CCCCCC"/>
              <w:bottom w:val="single" w:sz="1" w:space="0" w:color="CCCCCC"/>
              <w:right w:val="single" w:sz="1" w:space="0" w:color="CCCCCC"/>
            </w:tcBorders>
            <w:shd w:val="clear" w:color="auto" w:fill="D9E2F3"/>
            <w:tcMar>
              <w:top w:w="70" w:type="dxa"/>
              <w:left w:w="140" w:type="dxa"/>
              <w:bottom w:w="70" w:type="dxa"/>
              <w:right w:w="140" w:type="dxa"/>
            </w:tcMar>
          </w:tcPr>
          <w:p w14:paraId="12EEA964" w14:textId="77777777" w:rsidR="00645A15" w:rsidRDefault="002068AE">
            <w:r>
              <w:rPr>
                <w:b/>
                <w:bCs/>
                <w:sz w:val="20"/>
                <w:szCs w:val="20"/>
              </w:rPr>
              <w:t>National Case Fatality Rate</w:t>
            </w:r>
          </w:p>
        </w:tc>
        <w:tc>
          <w:tcPr>
            <w:tcW w:w="5160" w:type="dxa"/>
            <w:tcBorders>
              <w:top w:val="single" w:sz="1" w:space="0" w:color="CCCCCC"/>
              <w:left w:val="single" w:sz="1" w:space="0" w:color="CCCCCC"/>
              <w:bottom w:val="single" w:sz="1" w:space="0" w:color="CCCCCC"/>
              <w:right w:val="single" w:sz="1" w:space="0" w:color="CCCCCC"/>
            </w:tcBorders>
            <w:shd w:val="clear" w:color="auto" w:fill="D9E2F3"/>
            <w:tcMar>
              <w:top w:w="70" w:type="dxa"/>
              <w:left w:w="140" w:type="dxa"/>
              <w:bottom w:w="70" w:type="dxa"/>
              <w:right w:w="140" w:type="dxa"/>
            </w:tcMar>
          </w:tcPr>
          <w:p w14:paraId="68E50C7C" w14:textId="77777777" w:rsidR="00645A15" w:rsidRDefault="002068AE">
            <w:r>
              <w:rPr>
                <w:sz w:val="20"/>
                <w:szCs w:val="20"/>
              </w:rPr>
              <w:t>1.08%</w:t>
            </w:r>
          </w:p>
        </w:tc>
      </w:tr>
      <w:tr w:rsidR="00645A15" w14:paraId="5FBBCAEB"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0D380EC1" w14:textId="77777777" w:rsidR="00645A15" w:rsidRDefault="002068AE">
            <w:r>
              <w:rPr>
                <w:b/>
                <w:bCs/>
                <w:sz w:val="20"/>
                <w:szCs w:val="20"/>
              </w:rPr>
              <w:t>Days Tracked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3A9ACD1E" w14:textId="77777777" w:rsidR="00645A15" w:rsidRDefault="002068AE">
            <w:r>
              <w:rPr>
                <w:sz w:val="20"/>
                <w:szCs w:val="20"/>
              </w:rPr>
              <w:t>1,143 (Jan 22 2020 – Mar 9 2023)</w:t>
            </w:r>
          </w:p>
        </w:tc>
      </w:tr>
      <w:tr w:rsidR="00645A15" w14:paraId="7F5A79D6" w14:textId="77777777">
        <w:tc>
          <w:tcPr>
            <w:tcW w:w="4200" w:type="dxa"/>
            <w:tcBorders>
              <w:top w:val="single" w:sz="1" w:space="0" w:color="CCCCCC"/>
              <w:left w:val="single" w:sz="1" w:space="0" w:color="CCCCCC"/>
              <w:bottom w:val="single" w:sz="1" w:space="0" w:color="CCCCCC"/>
              <w:right w:val="single" w:sz="1" w:space="0" w:color="CCCCCC"/>
            </w:tcBorders>
            <w:shd w:val="clear" w:color="auto" w:fill="D9E2F3"/>
            <w:tcMar>
              <w:top w:w="70" w:type="dxa"/>
              <w:left w:w="140" w:type="dxa"/>
              <w:bottom w:w="70" w:type="dxa"/>
              <w:right w:w="140" w:type="dxa"/>
            </w:tcMar>
          </w:tcPr>
          <w:p w14:paraId="42647D1A" w14:textId="77777777" w:rsidR="00645A15" w:rsidRDefault="002068AE">
            <w:r>
              <w:rPr>
                <w:b/>
                <w:bCs/>
                <w:sz w:val="20"/>
                <w:szCs w:val="20"/>
              </w:rPr>
              <w:t>Counties Analysed</w:t>
            </w:r>
          </w:p>
        </w:tc>
        <w:tc>
          <w:tcPr>
            <w:tcW w:w="5160" w:type="dxa"/>
            <w:tcBorders>
              <w:top w:val="single" w:sz="1" w:space="0" w:color="CCCCCC"/>
              <w:left w:val="single" w:sz="1" w:space="0" w:color="CCCCCC"/>
              <w:bottom w:val="single" w:sz="1" w:space="0" w:color="CCCCCC"/>
              <w:right w:val="single" w:sz="1" w:space="0" w:color="CCCCCC"/>
            </w:tcBorders>
            <w:shd w:val="clear" w:color="auto" w:fill="D9E2F3"/>
            <w:tcMar>
              <w:top w:w="70" w:type="dxa"/>
              <w:left w:w="140" w:type="dxa"/>
              <w:bottom w:w="70" w:type="dxa"/>
              <w:right w:w="140" w:type="dxa"/>
            </w:tcMar>
          </w:tcPr>
          <w:p w14:paraId="24201F38" w14:textId="77777777" w:rsidR="00645A15" w:rsidRDefault="002068AE">
            <w:r>
              <w:rPr>
                <w:sz w:val="20"/>
                <w:szCs w:val="20"/>
              </w:rPr>
              <w:t>3,342</w:t>
            </w:r>
          </w:p>
        </w:tc>
      </w:tr>
      <w:tr w:rsidR="00645A15" w14:paraId="7264C5A5"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D01066B" w14:textId="77777777" w:rsidR="00645A15" w:rsidRDefault="002068AE">
            <w:r>
              <w:rPr>
                <w:b/>
                <w:bCs/>
                <w:sz w:val="20"/>
                <w:szCs w:val="20"/>
              </w:rPr>
              <w:t>ARIMA Model</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3B60247E" w14:textId="77777777" w:rsidR="00645A15" w:rsidRDefault="002068AE">
            <w:proofErr w:type="gramStart"/>
            <w:r>
              <w:rPr>
                <w:sz w:val="20"/>
                <w:szCs w:val="20"/>
              </w:rPr>
              <w:t>ARIMA(</w:t>
            </w:r>
            <w:proofErr w:type="gramEnd"/>
            <w:r>
              <w:rPr>
                <w:sz w:val="20"/>
                <w:szCs w:val="20"/>
              </w:rPr>
              <w:t>2,0,1) — MAE: 9,959 | RMSE: 11,204</w:t>
            </w:r>
          </w:p>
        </w:tc>
      </w:tr>
      <w:tr w:rsidR="00645A15" w14:paraId="181C2692" w14:textId="77777777">
        <w:tc>
          <w:tcPr>
            <w:tcW w:w="4200" w:type="dxa"/>
            <w:tcBorders>
              <w:top w:val="single" w:sz="1" w:space="0" w:color="CCCCCC"/>
              <w:left w:val="single" w:sz="1" w:space="0" w:color="CCCCCC"/>
              <w:bottom w:val="single" w:sz="1" w:space="0" w:color="CCCCCC"/>
              <w:right w:val="single" w:sz="1" w:space="0" w:color="CCCCCC"/>
            </w:tcBorders>
            <w:shd w:val="clear" w:color="auto" w:fill="D9E2F3"/>
            <w:tcMar>
              <w:top w:w="70" w:type="dxa"/>
              <w:left w:w="140" w:type="dxa"/>
              <w:bottom w:w="70" w:type="dxa"/>
              <w:right w:w="140" w:type="dxa"/>
            </w:tcMar>
          </w:tcPr>
          <w:p w14:paraId="1EFF3CE9" w14:textId="77777777" w:rsidR="00645A15" w:rsidRDefault="002068AE">
            <w:r>
              <w:rPr>
                <w:b/>
                <w:bCs/>
                <w:sz w:val="20"/>
                <w:szCs w:val="20"/>
              </w:rPr>
              <w:t>LSTM Model</w:t>
            </w:r>
          </w:p>
        </w:tc>
        <w:tc>
          <w:tcPr>
            <w:tcW w:w="5160" w:type="dxa"/>
            <w:tcBorders>
              <w:top w:val="single" w:sz="1" w:space="0" w:color="CCCCCC"/>
              <w:left w:val="single" w:sz="1" w:space="0" w:color="CCCCCC"/>
              <w:bottom w:val="single" w:sz="1" w:space="0" w:color="CCCCCC"/>
              <w:right w:val="single" w:sz="1" w:space="0" w:color="CCCCCC"/>
            </w:tcBorders>
            <w:shd w:val="clear" w:color="auto" w:fill="D9E2F3"/>
            <w:tcMar>
              <w:top w:w="70" w:type="dxa"/>
              <w:left w:w="140" w:type="dxa"/>
              <w:bottom w:w="70" w:type="dxa"/>
              <w:right w:w="140" w:type="dxa"/>
            </w:tcMar>
          </w:tcPr>
          <w:p w14:paraId="40D074C3" w14:textId="77777777" w:rsidR="00645A15" w:rsidRDefault="002068AE">
            <w:r>
              <w:rPr>
                <w:sz w:val="20"/>
                <w:szCs w:val="20"/>
              </w:rPr>
              <w:t>50-unit LSTM, 30-day window — MAE: 6,009 | RMSE: 8,133</w:t>
            </w:r>
          </w:p>
        </w:tc>
      </w:tr>
      <w:tr w:rsidR="00645A15" w14:paraId="4DC4E167"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0B007EB1" w14:textId="77777777" w:rsidR="00645A15" w:rsidRDefault="002068AE">
            <w:r>
              <w:rPr>
                <w:b/>
                <w:bCs/>
                <w:sz w:val="20"/>
                <w:szCs w:val="20"/>
              </w:rPr>
              <w:t>Highest-Burden County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2D090300" w14:textId="77777777" w:rsidR="00645A15" w:rsidRDefault="002068AE">
            <w:r>
              <w:rPr>
                <w:sz w:val="20"/>
                <w:szCs w:val="20"/>
              </w:rPr>
              <w:t>Los Angeles, California</w:t>
            </w:r>
          </w:p>
        </w:tc>
      </w:tr>
      <w:tr w:rsidR="00645A15" w14:paraId="24FA5E08" w14:textId="77777777">
        <w:tc>
          <w:tcPr>
            <w:tcW w:w="4200" w:type="dxa"/>
            <w:tcBorders>
              <w:top w:val="single" w:sz="1" w:space="0" w:color="CCCCCC"/>
              <w:left w:val="single" w:sz="1" w:space="0" w:color="CCCCCC"/>
              <w:bottom w:val="single" w:sz="1" w:space="0" w:color="CCCCCC"/>
              <w:right w:val="single" w:sz="1" w:space="0" w:color="CCCCCC"/>
            </w:tcBorders>
            <w:shd w:val="clear" w:color="auto" w:fill="D9E2F3"/>
            <w:tcMar>
              <w:top w:w="70" w:type="dxa"/>
              <w:left w:w="140" w:type="dxa"/>
              <w:bottom w:w="70" w:type="dxa"/>
              <w:right w:w="140" w:type="dxa"/>
            </w:tcMar>
          </w:tcPr>
          <w:p w14:paraId="1508146C" w14:textId="77777777" w:rsidR="00645A15" w:rsidRDefault="002068AE">
            <w:r>
              <w:rPr>
                <w:b/>
                <w:bCs/>
                <w:sz w:val="20"/>
                <w:szCs w:val="20"/>
              </w:rPr>
              <w:t>Deadliest Period</w:t>
            </w:r>
          </w:p>
        </w:tc>
        <w:tc>
          <w:tcPr>
            <w:tcW w:w="5160" w:type="dxa"/>
            <w:tcBorders>
              <w:top w:val="single" w:sz="1" w:space="0" w:color="CCCCCC"/>
              <w:left w:val="single" w:sz="1" w:space="0" w:color="CCCCCC"/>
              <w:bottom w:val="single" w:sz="1" w:space="0" w:color="CCCCCC"/>
              <w:right w:val="single" w:sz="1" w:space="0" w:color="CCCCCC"/>
            </w:tcBorders>
            <w:shd w:val="clear" w:color="auto" w:fill="D9E2F3"/>
            <w:tcMar>
              <w:top w:w="70" w:type="dxa"/>
              <w:left w:w="140" w:type="dxa"/>
              <w:bottom w:w="70" w:type="dxa"/>
              <w:right w:w="140" w:type="dxa"/>
            </w:tcMar>
          </w:tcPr>
          <w:p w14:paraId="72042B34" w14:textId="77777777" w:rsidR="00645A15" w:rsidRDefault="002068AE">
            <w:r>
              <w:rPr>
                <w:sz w:val="20"/>
                <w:szCs w:val="20"/>
              </w:rPr>
              <w:t>December 2020 – January 2021</w:t>
            </w:r>
          </w:p>
        </w:tc>
      </w:tr>
    </w:tbl>
    <w:p w14:paraId="33F6215D" w14:textId="77777777" w:rsidR="00645A15" w:rsidRDefault="00645A15">
      <w:pPr>
        <w:spacing w:before="120"/>
      </w:pPr>
    </w:p>
    <w:p w14:paraId="046AB911" w14:textId="77777777" w:rsidR="00645A15" w:rsidRDefault="002068AE" w:rsidP="0036048F">
      <w:pPr>
        <w:spacing w:before="60" w:after="60"/>
        <w:jc w:val="both"/>
      </w:pPr>
      <w:r>
        <w:rPr>
          <w:b/>
          <w:bCs/>
        </w:rPr>
        <w:t xml:space="preserve">Key finding: </w:t>
      </w:r>
      <w:r>
        <w:t>The LSTM outperformed ARIMA on raw accuracy. However, ARIMA</w:t>
      </w:r>
      <w:r w:rsidR="0036048F">
        <w:rPr>
          <w:lang w:val="en-US"/>
        </w:rPr>
        <w:t xml:space="preserve"> </w:t>
      </w:r>
      <w:r>
        <w:t>(2,0,1) provides interpretable, statistically grounded forecasts suitable for policy communication. Both models project a continued decline in daily new cases from the end of the dataset (March 2023), consistent with the late-pandemic wind-down trend.</w:t>
      </w:r>
    </w:p>
    <w:p w14:paraId="0D4A7135" w14:textId="77777777" w:rsidR="00645A15" w:rsidRDefault="002068AE">
      <w:r>
        <w:br w:type="page"/>
      </w:r>
    </w:p>
    <w:p w14:paraId="7BE5C249" w14:textId="77777777" w:rsidR="00645A15" w:rsidRDefault="002068AE">
      <w:pPr>
        <w:pStyle w:val="Heading1"/>
      </w:pPr>
      <w:r>
        <w:lastRenderedPageBreak/>
        <w:t>2. Data &amp; Methodology</w:t>
      </w:r>
    </w:p>
    <w:p w14:paraId="385B6806" w14:textId="77777777" w:rsidR="00645A15" w:rsidRDefault="002068AE">
      <w:pPr>
        <w:pStyle w:val="Heading2"/>
        <w:pBdr>
          <w:bottom w:val="single" w:sz="4" w:space="4" w:color="2E75B6"/>
        </w:pBdr>
      </w:pPr>
      <w:r>
        <w:t>2.1 Dataset Description</w:t>
      </w:r>
    </w:p>
    <w:p w14:paraId="25B2919D" w14:textId="77777777" w:rsidR="00645A15" w:rsidRDefault="002068AE" w:rsidP="0036048F">
      <w:pPr>
        <w:spacing w:before="60" w:after="60"/>
        <w:jc w:val="both"/>
      </w:pPr>
      <w:r>
        <w:t>Two CSV files were provided by Johns Hopkins University CSSE: time_series_covid19_confirmed_US.csv and time_series_covid19_deaths_US.csv. Each file contains one row per county-level administrative unit, with columns for location identifiers followed by daily cumulative counts from 22 January 2020 through 9 March 2023.</w:t>
      </w:r>
    </w:p>
    <w:p w14:paraId="4E88E8EF" w14:textId="77777777" w:rsidR="00645A15" w:rsidRDefault="002068AE">
      <w:pPr>
        <w:pStyle w:val="Heading2"/>
        <w:pBdr>
          <w:bottom w:val="single" w:sz="4" w:space="4" w:color="2E75B6"/>
        </w:pBdr>
      </w:pPr>
      <w:r>
        <w:t xml:space="preserve">2.2 </w:t>
      </w:r>
      <w:r w:rsidR="0036048F">
        <w:t>Pre-processing</w:t>
      </w:r>
      <w:r>
        <w:t xml:space="preserve"> Steps</w:t>
      </w:r>
    </w:p>
    <w:p w14:paraId="755CFBCD" w14:textId="77777777" w:rsidR="00645A15" w:rsidRDefault="002068AE">
      <w:pPr>
        <w:pStyle w:val="ListParagraph"/>
        <w:numPr>
          <w:ilvl w:val="0"/>
          <w:numId w:val="2"/>
        </w:numPr>
        <w:spacing w:before="40" w:after="40"/>
      </w:pPr>
      <w:r>
        <w:t xml:space="preserve">Read both CSV files and performed initial exploration using descriptive statistics and </w:t>
      </w:r>
      <w:r w:rsidR="0036048F">
        <w:t>head (</w:t>
      </w:r>
      <w:r>
        <w:t>) inspection.</w:t>
      </w:r>
    </w:p>
    <w:p w14:paraId="0B34E5A8" w14:textId="77777777" w:rsidR="00645A15" w:rsidRDefault="002068AE">
      <w:pPr>
        <w:pStyle w:val="ListParagraph"/>
        <w:numPr>
          <w:ilvl w:val="0"/>
          <w:numId w:val="2"/>
        </w:numPr>
        <w:spacing w:before="40" w:after="40"/>
      </w:pPr>
      <w:r>
        <w:t xml:space="preserve">Dropped redundant identifier columns (UID, iso2, iso3, code3, FIPS, Lat, </w:t>
      </w:r>
      <w:proofErr w:type="gramStart"/>
      <w:r>
        <w:t>Long</w:t>
      </w:r>
      <w:proofErr w:type="gramEnd"/>
      <w:r>
        <w:t>_), retaining only Combined_Key, Admin2, Province_State, Country_Region, and all 1,143 date columns.</w:t>
      </w:r>
    </w:p>
    <w:p w14:paraId="075B0D04" w14:textId="77777777" w:rsidR="00645A15" w:rsidRDefault="002068AE">
      <w:pPr>
        <w:pStyle w:val="ListParagraph"/>
        <w:numPr>
          <w:ilvl w:val="0"/>
          <w:numId w:val="2"/>
        </w:numPr>
        <w:spacing w:before="40" w:after="40"/>
      </w:pPr>
      <w:r>
        <w:t>Identified 6 missing Admin2 values in each dataset and filled them with 'Unknown' to preserve the associated case data.</w:t>
      </w:r>
    </w:p>
    <w:p w14:paraId="4B0F01A8" w14:textId="77777777" w:rsidR="00645A15" w:rsidRDefault="002068AE">
      <w:pPr>
        <w:pStyle w:val="ListParagraph"/>
        <w:numPr>
          <w:ilvl w:val="0"/>
          <w:numId w:val="2"/>
        </w:numPr>
        <w:spacing w:before="40" w:after="40"/>
      </w:pPr>
      <w:r>
        <w:t>Converted date columns to integers and validated consistency</w:t>
      </w:r>
      <w:r w:rsidR="0036048F">
        <w:rPr>
          <w:lang w:val="en-US"/>
        </w:rPr>
        <w:t>.</w:t>
      </w:r>
      <w:r>
        <w:t xml:space="preserve"> 7,565 entries showed deaths &gt; confirmed cases, attributed to known reporting lags in the raw data.</w:t>
      </w:r>
    </w:p>
    <w:p w14:paraId="19BF7482" w14:textId="77777777" w:rsidR="00645A15" w:rsidRDefault="002068AE">
      <w:pPr>
        <w:pStyle w:val="ListParagraph"/>
        <w:numPr>
          <w:ilvl w:val="0"/>
          <w:numId w:val="2"/>
        </w:numPr>
        <w:spacing w:before="40" w:after="40"/>
      </w:pPr>
      <w:r>
        <w:t>Merged the two datasets on Combined_Key using an inner join, producing a dataset of 3,342 rows × 2,293 columns.</w:t>
      </w:r>
    </w:p>
    <w:p w14:paraId="60E556F9" w14:textId="77777777" w:rsidR="00645A15" w:rsidRDefault="002068AE">
      <w:pPr>
        <w:pStyle w:val="Heading2"/>
        <w:pBdr>
          <w:bottom w:val="single" w:sz="4" w:space="4" w:color="2E75B6"/>
        </w:pBdr>
      </w:pPr>
      <w:r>
        <w:t>2.3 Analytical Approach</w:t>
      </w:r>
    </w:p>
    <w:p w14:paraId="59466DB1" w14:textId="77777777" w:rsidR="00645A15" w:rsidRDefault="002068AE">
      <w:pPr>
        <w:spacing w:before="60" w:after="60"/>
      </w:pPr>
      <w:r>
        <w:t>The analysis proceeded in four phases:</w:t>
      </w:r>
    </w:p>
    <w:p w14:paraId="7DEAF3F7" w14:textId="77777777" w:rsidR="00645A15" w:rsidRDefault="002068AE">
      <w:pPr>
        <w:pStyle w:val="ListParagraph"/>
        <w:numPr>
          <w:ilvl w:val="0"/>
          <w:numId w:val="3"/>
        </w:numPr>
        <w:spacing w:before="40" w:after="40"/>
      </w:pPr>
      <w:r>
        <w:t>Descriptive Analysis — national and state-level trend visualisation, heatmaps, case fatality rate, and choropleth mapping.</w:t>
      </w:r>
    </w:p>
    <w:p w14:paraId="399E54AD" w14:textId="77777777" w:rsidR="00645A15" w:rsidRDefault="002068AE">
      <w:pPr>
        <w:pStyle w:val="ListParagraph"/>
        <w:numPr>
          <w:ilvl w:val="0"/>
          <w:numId w:val="3"/>
        </w:numPr>
        <w:spacing w:before="40" w:after="40"/>
      </w:pPr>
      <w:r>
        <w:t>Time Series Modelling — stationarity testing, ARIMA parameter selection via ACF/PACF, model training and evaluation, and LSTM implementation.</w:t>
      </w:r>
    </w:p>
    <w:p w14:paraId="0A2333C3" w14:textId="77777777" w:rsidR="00645A15" w:rsidRDefault="002068AE">
      <w:pPr>
        <w:pStyle w:val="ListParagraph"/>
        <w:numPr>
          <w:ilvl w:val="0"/>
          <w:numId w:val="3"/>
        </w:numPr>
        <w:spacing w:before="40" w:after="40"/>
      </w:pPr>
      <w:r>
        <w:t xml:space="preserve">Insight Generation — </w:t>
      </w:r>
      <w:r w:rsidR="0036048F">
        <w:rPr>
          <w:lang w:val="en-US"/>
        </w:rPr>
        <w:t>3</w:t>
      </w:r>
      <w:r>
        <w:t>0-day ARIMA forecasting per state, peak region identification, fatality window analysis, and external factor annotation.</w:t>
      </w:r>
    </w:p>
    <w:p w14:paraId="03857B30" w14:textId="77777777" w:rsidR="00645A15" w:rsidRDefault="002068AE">
      <w:pPr>
        <w:pStyle w:val="ListParagraph"/>
        <w:numPr>
          <w:ilvl w:val="0"/>
          <w:numId w:val="3"/>
        </w:numPr>
        <w:spacing w:before="40" w:after="40"/>
      </w:pPr>
      <w:r>
        <w:t>Policy Reporting — synthesis of findings into actionable recommendations.</w:t>
      </w:r>
    </w:p>
    <w:p w14:paraId="32D38E85" w14:textId="77777777" w:rsidR="00645A15" w:rsidRDefault="002068AE">
      <w:r>
        <w:br w:type="page"/>
      </w:r>
    </w:p>
    <w:p w14:paraId="790F52FD" w14:textId="77777777" w:rsidR="00645A15" w:rsidRDefault="002068AE">
      <w:pPr>
        <w:pStyle w:val="Heading1"/>
      </w:pPr>
      <w:r>
        <w:lastRenderedPageBreak/>
        <w:t>3. Descriptive Analysis</w:t>
      </w:r>
    </w:p>
    <w:p w14:paraId="5BEFA979" w14:textId="77777777" w:rsidR="00645A15" w:rsidRDefault="002068AE">
      <w:pPr>
        <w:pStyle w:val="Heading2"/>
        <w:pBdr>
          <w:bottom w:val="single" w:sz="4" w:space="4" w:color="2E75B6"/>
        </w:pBdr>
      </w:pPr>
      <w:r>
        <w:t>3.1 National Trends</w:t>
      </w:r>
    </w:p>
    <w:p w14:paraId="144560A6" w14:textId="77777777" w:rsidR="00645A15" w:rsidRDefault="002068AE">
      <w:pPr>
        <w:spacing w:before="60" w:after="60"/>
      </w:pPr>
      <w:r>
        <w:t>The charts below present the national cumulative and daily case/death trajectory for the United States across the full study period.</w:t>
      </w:r>
    </w:p>
    <w:p w14:paraId="4499840A" w14:textId="77777777" w:rsidR="00645A15" w:rsidRDefault="00645A15">
      <w:pPr>
        <w:spacing w:before="80"/>
      </w:pPr>
    </w:p>
    <w:p w14:paraId="506B5544" w14:textId="77777777" w:rsidR="00645A15" w:rsidRDefault="002068AE">
      <w:pPr>
        <w:spacing w:before="80" w:after="80"/>
        <w:jc w:val="center"/>
      </w:pPr>
      <w:r>
        <w:rPr>
          <w:noProof/>
        </w:rPr>
        <w:drawing>
          <wp:inline distT="0" distB="0" distL="0" distR="0" wp14:anchorId="4F2EF01A" wp14:editId="56BE0636">
            <wp:extent cx="6219825"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219825" cy="3200400"/>
                    </a:xfrm>
                    <a:prstGeom prst="rect">
                      <a:avLst/>
                    </a:prstGeom>
                  </pic:spPr>
                </pic:pic>
              </a:graphicData>
            </a:graphic>
          </wp:inline>
        </w:drawing>
      </w:r>
    </w:p>
    <w:p w14:paraId="40B2DF2E" w14:textId="77777777" w:rsidR="00645A15" w:rsidRDefault="002068AE">
      <w:pPr>
        <w:spacing w:before="40" w:after="120"/>
        <w:jc w:val="center"/>
      </w:pPr>
      <w:r>
        <w:rPr>
          <w:i/>
          <w:iCs/>
          <w:color w:val="666666"/>
          <w:sz w:val="18"/>
          <w:szCs w:val="18"/>
        </w:rPr>
        <w:t>Figure 1 — US Cumulative COVID-19 Cases (blue) and Deaths (red) Over Time</w:t>
      </w:r>
    </w:p>
    <w:p w14:paraId="2928BA82" w14:textId="77777777" w:rsidR="00645A15" w:rsidRDefault="00645A15">
      <w:pPr>
        <w:spacing w:before="60"/>
      </w:pPr>
    </w:p>
    <w:p w14:paraId="1A87DC0E" w14:textId="77777777" w:rsidR="00645A15" w:rsidRDefault="002068AE">
      <w:pPr>
        <w:spacing w:before="80" w:after="80"/>
        <w:jc w:val="center"/>
      </w:pPr>
      <w:r>
        <w:rPr>
          <w:noProof/>
        </w:rPr>
        <w:drawing>
          <wp:inline distT="0" distB="0" distL="0" distR="0" wp14:anchorId="53012D9E" wp14:editId="6F3FE4BB">
            <wp:extent cx="6219825" cy="3200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219825" cy="3200400"/>
                    </a:xfrm>
                    <a:prstGeom prst="rect">
                      <a:avLst/>
                    </a:prstGeom>
                  </pic:spPr>
                </pic:pic>
              </a:graphicData>
            </a:graphic>
          </wp:inline>
        </w:drawing>
      </w:r>
    </w:p>
    <w:p w14:paraId="6911BBDB" w14:textId="77777777" w:rsidR="00645A15" w:rsidRDefault="002068AE">
      <w:pPr>
        <w:spacing w:before="40" w:after="120"/>
        <w:jc w:val="center"/>
      </w:pPr>
      <w:r>
        <w:rPr>
          <w:i/>
          <w:iCs/>
          <w:color w:val="666666"/>
          <w:sz w:val="18"/>
          <w:szCs w:val="18"/>
        </w:rPr>
        <w:t>Figure 2 — US Daily New Cases and Deaths with 7-Day Rolling Average</w:t>
      </w:r>
    </w:p>
    <w:p w14:paraId="6860B84B" w14:textId="77777777" w:rsidR="00645A15" w:rsidRDefault="00645A15">
      <w:pPr>
        <w:spacing w:before="80"/>
      </w:pPr>
    </w:p>
    <w:p w14:paraId="618AF920" w14:textId="77777777" w:rsidR="00645A15" w:rsidRDefault="002068AE" w:rsidP="0036048F">
      <w:pPr>
        <w:spacing w:before="60" w:after="60"/>
        <w:jc w:val="both"/>
      </w:pPr>
      <w:r>
        <w:lastRenderedPageBreak/>
        <w:t>Three distinct national surges are visible in Figure 2. The first major wave peaked in summer 2020. The deadliest wave occurred in winter 2020–21, driven</w:t>
      </w:r>
      <w:r w:rsidR="0036048F">
        <w:rPr>
          <w:lang w:val="en-US"/>
        </w:rPr>
        <w:t xml:space="preserve"> probably</w:t>
      </w:r>
      <w:r>
        <w:t xml:space="preserve"> by the Alpha variant and holiday gatherings. The third and largest surge by case volume occurred in December 2021 – February 2022, attributed to the highly transmissible Omicron variant, though with a </w:t>
      </w:r>
      <w:r w:rsidR="0036048F">
        <w:t>lower-case</w:t>
      </w:r>
      <w:r>
        <w:t xml:space="preserve"> fatality rate.</w:t>
      </w:r>
    </w:p>
    <w:p w14:paraId="2B841F56" w14:textId="77777777" w:rsidR="00645A15" w:rsidRDefault="002068AE">
      <w:pPr>
        <w:pStyle w:val="Heading2"/>
        <w:pBdr>
          <w:bottom w:val="single" w:sz="4" w:space="4" w:color="2E75B6"/>
        </w:pBdr>
      </w:pPr>
      <w:r>
        <w:t>3.2 Regional Comparison — Top Counties and States</w:t>
      </w:r>
    </w:p>
    <w:p w14:paraId="06B2F080" w14:textId="77777777" w:rsidR="00645A15" w:rsidRDefault="002068AE">
      <w:pPr>
        <w:spacing w:before="80" w:after="80"/>
        <w:jc w:val="center"/>
      </w:pPr>
      <w:r>
        <w:rPr>
          <w:noProof/>
        </w:rPr>
        <w:drawing>
          <wp:inline distT="0" distB="0" distL="0" distR="0" wp14:anchorId="0136CE14" wp14:editId="2E8C775C">
            <wp:extent cx="6219825" cy="3200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219825" cy="3200400"/>
                    </a:xfrm>
                    <a:prstGeom prst="rect">
                      <a:avLst/>
                    </a:prstGeom>
                  </pic:spPr>
                </pic:pic>
              </a:graphicData>
            </a:graphic>
          </wp:inline>
        </w:drawing>
      </w:r>
    </w:p>
    <w:p w14:paraId="19C11234" w14:textId="77777777" w:rsidR="00645A15" w:rsidRDefault="002068AE">
      <w:pPr>
        <w:spacing w:before="40" w:after="120"/>
        <w:jc w:val="center"/>
      </w:pPr>
      <w:r>
        <w:rPr>
          <w:i/>
          <w:iCs/>
          <w:color w:val="666666"/>
          <w:sz w:val="18"/>
          <w:szCs w:val="18"/>
        </w:rPr>
        <w:t>Figure 3 — Top 10 US Counties by Cumulative Confirmed Cases</w:t>
      </w:r>
    </w:p>
    <w:p w14:paraId="1EE4151B" w14:textId="77777777" w:rsidR="00645A15" w:rsidRDefault="00645A15">
      <w:pPr>
        <w:spacing w:before="60"/>
      </w:pPr>
    </w:p>
    <w:p w14:paraId="2F0A79D6" w14:textId="77777777" w:rsidR="00645A15" w:rsidRDefault="002068AE">
      <w:pPr>
        <w:spacing w:before="80" w:after="80"/>
        <w:jc w:val="center"/>
      </w:pPr>
      <w:r>
        <w:rPr>
          <w:noProof/>
        </w:rPr>
        <w:drawing>
          <wp:inline distT="0" distB="0" distL="0" distR="0" wp14:anchorId="5DCBD0B3" wp14:editId="6F1244EB">
            <wp:extent cx="6219825" cy="3200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219825" cy="3200400"/>
                    </a:xfrm>
                    <a:prstGeom prst="rect">
                      <a:avLst/>
                    </a:prstGeom>
                  </pic:spPr>
                </pic:pic>
              </a:graphicData>
            </a:graphic>
          </wp:inline>
        </w:drawing>
      </w:r>
    </w:p>
    <w:p w14:paraId="3FF0D617" w14:textId="77777777" w:rsidR="00645A15" w:rsidRDefault="002068AE">
      <w:pPr>
        <w:spacing w:before="40" w:after="120"/>
        <w:jc w:val="center"/>
      </w:pPr>
      <w:r>
        <w:rPr>
          <w:i/>
          <w:iCs/>
          <w:color w:val="666666"/>
          <w:sz w:val="18"/>
          <w:szCs w:val="18"/>
        </w:rPr>
        <w:t>Figure 4 — Total Cases and Deaths for Top 15 Counties (Dual-Axis Bar Chart)</w:t>
      </w:r>
    </w:p>
    <w:p w14:paraId="155217E9" w14:textId="77777777" w:rsidR="00645A15" w:rsidRDefault="00645A15">
      <w:pPr>
        <w:spacing w:before="80"/>
      </w:pPr>
    </w:p>
    <w:p w14:paraId="096BFA2C" w14:textId="77777777" w:rsidR="00645A15" w:rsidRDefault="002068AE" w:rsidP="0036048F">
      <w:pPr>
        <w:spacing w:before="60" w:after="60"/>
        <w:jc w:val="both"/>
      </w:pPr>
      <w:r>
        <w:lastRenderedPageBreak/>
        <w:t>Los Angeles, Miami-Dade, and Cook County (Chicago) consistently rank as the highest-burden counties, reflecting the role of dense urban populations in driving transmission. Notably, Figure 4 shows that counties with the highest case counts do not always have the proportionally highest death counts, suggesting differences in demographics, healthcare capacity, and vaccination uptake.</w:t>
      </w:r>
    </w:p>
    <w:p w14:paraId="0E692A20" w14:textId="77777777" w:rsidR="00645A15" w:rsidRDefault="002068AE">
      <w:pPr>
        <w:pStyle w:val="Heading2"/>
        <w:pBdr>
          <w:bottom w:val="single" w:sz="4" w:space="4" w:color="2E75B6"/>
        </w:pBdr>
      </w:pPr>
      <w:r>
        <w:t>3.3 Case Fatality Rate Analysis</w:t>
      </w:r>
    </w:p>
    <w:p w14:paraId="7381D3AE" w14:textId="77777777" w:rsidR="00645A15" w:rsidRDefault="002068AE">
      <w:pPr>
        <w:spacing w:before="80" w:after="80"/>
        <w:jc w:val="center"/>
      </w:pPr>
      <w:r>
        <w:rPr>
          <w:noProof/>
        </w:rPr>
        <w:drawing>
          <wp:inline distT="0" distB="0" distL="0" distR="0" wp14:anchorId="2AEAE475" wp14:editId="104B245D">
            <wp:extent cx="5943600" cy="3476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3476625"/>
                    </a:xfrm>
                    <a:prstGeom prst="rect">
                      <a:avLst/>
                    </a:prstGeom>
                  </pic:spPr>
                </pic:pic>
              </a:graphicData>
            </a:graphic>
          </wp:inline>
        </w:drawing>
      </w:r>
    </w:p>
    <w:p w14:paraId="56A2B40B" w14:textId="77777777" w:rsidR="00645A15" w:rsidRDefault="002068AE">
      <w:pPr>
        <w:spacing w:before="40" w:after="120"/>
        <w:jc w:val="center"/>
      </w:pPr>
      <w:r>
        <w:rPr>
          <w:i/>
          <w:iCs/>
          <w:color w:val="666666"/>
          <w:sz w:val="18"/>
          <w:szCs w:val="18"/>
        </w:rPr>
        <w:t>Figure 5 — Case Fatality Rate (CFR) for Top 30 Counties. Red = above median CFR. Median CFR: 0.93%</w:t>
      </w:r>
    </w:p>
    <w:p w14:paraId="3AE1F153" w14:textId="77777777" w:rsidR="00645A15" w:rsidRDefault="002068AE">
      <w:pPr>
        <w:spacing w:before="60" w:after="60"/>
      </w:pPr>
      <w:r>
        <w:t>The median case fatality rate across the top 30 counties was 0.93%. Counties exceeding this threshold (shown in red) tend to be located in regions with older populations, earlier pandemic exposure before intensive care protocols were established, or lower healthcare access. This reinforces the importance of targeted resource allocation rather than uniform national responses.</w:t>
      </w:r>
    </w:p>
    <w:p w14:paraId="08F3C324" w14:textId="77777777" w:rsidR="00645A15" w:rsidRDefault="0036048F">
      <w:pPr>
        <w:pStyle w:val="Heading2"/>
        <w:pBdr>
          <w:bottom w:val="single" w:sz="4" w:space="4" w:color="2E75B6"/>
        </w:pBdr>
      </w:pPr>
      <w:r>
        <w:rPr>
          <w:b w:val="0"/>
          <w:bCs w:val="0"/>
          <w:noProof/>
        </w:rPr>
        <w:lastRenderedPageBreak/>
        <w:drawing>
          <wp:anchor distT="0" distB="0" distL="114300" distR="114300" simplePos="0" relativeHeight="251658240" behindDoc="1" locked="0" layoutInCell="1" allowOverlap="1" wp14:anchorId="59A22833" wp14:editId="2DBEBEAE">
            <wp:simplePos x="0" y="0"/>
            <wp:positionH relativeFrom="margin">
              <wp:posOffset>190500</wp:posOffset>
            </wp:positionH>
            <wp:positionV relativeFrom="paragraph">
              <wp:posOffset>434975</wp:posOffset>
            </wp:positionV>
            <wp:extent cx="6061710" cy="5124450"/>
            <wp:effectExtent l="0" t="0" r="0" b="0"/>
            <wp:wrapTight wrapText="bothSides">
              <wp:wrapPolygon edited="0">
                <wp:start x="0" y="0"/>
                <wp:lineTo x="0" y="21520"/>
                <wp:lineTo x="21519" y="21520"/>
                <wp:lineTo x="21519" y="0"/>
                <wp:lineTo x="0" y="0"/>
              </wp:wrapPolygon>
            </wp:wrapTight>
            <wp:docPr id="20" name="Picture 20" descr="C:\Users\User\AppData\Local\Microsoft\Windows\INetCache\Content.MSO\B95C868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Microsoft\Windows\INetCache\Content.MSO\B95C868B.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61710" cy="5124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068AE">
        <w:t>3.4 Geographic Distribution</w:t>
      </w:r>
    </w:p>
    <w:p w14:paraId="0A91E238" w14:textId="77777777" w:rsidR="00645A15" w:rsidRDefault="00645A15">
      <w:pPr>
        <w:spacing w:before="80" w:after="80"/>
        <w:jc w:val="center"/>
      </w:pPr>
    </w:p>
    <w:p w14:paraId="19A04348" w14:textId="77777777" w:rsidR="00645A15" w:rsidRDefault="002068AE">
      <w:pPr>
        <w:spacing w:before="40" w:after="120"/>
        <w:jc w:val="center"/>
      </w:pPr>
      <w:r>
        <w:rPr>
          <w:i/>
          <w:iCs/>
          <w:color w:val="666666"/>
          <w:sz w:val="18"/>
          <w:szCs w:val="18"/>
        </w:rPr>
        <w:t>Figure 6 — Choropleth Map: Total Confirmed Cases by US State</w:t>
      </w:r>
    </w:p>
    <w:p w14:paraId="3441D8D4" w14:textId="77777777" w:rsidR="00645A15" w:rsidRDefault="00645A15">
      <w:pPr>
        <w:spacing w:before="80"/>
      </w:pPr>
    </w:p>
    <w:p w14:paraId="5D281548" w14:textId="77777777" w:rsidR="00645A15" w:rsidRDefault="002068AE" w:rsidP="002C64D0">
      <w:pPr>
        <w:spacing w:before="60" w:after="60"/>
        <w:jc w:val="both"/>
      </w:pPr>
      <w:r>
        <w:t>The choropleth map reveals strong geographic concentration of cases in populous coastal and Sun Belt states. California, Texas, Florida, and New York account for a disproportionate share of total national cases. This geographic clustering has direct implications for resource deployment and inter-state coordination policies.</w:t>
      </w:r>
    </w:p>
    <w:p w14:paraId="65C543F2" w14:textId="77777777" w:rsidR="00645A15" w:rsidRDefault="002068AE">
      <w:pPr>
        <w:pStyle w:val="Heading2"/>
        <w:pBdr>
          <w:bottom w:val="single" w:sz="4" w:space="4" w:color="2E75B6"/>
        </w:pBdr>
      </w:pPr>
      <w:r>
        <w:t>3.5 Temporal Heatmaps</w:t>
      </w:r>
    </w:p>
    <w:p w14:paraId="5BCC7E1E" w14:textId="77777777" w:rsidR="00645A15" w:rsidRDefault="002068AE">
      <w:pPr>
        <w:spacing w:before="80" w:after="80"/>
        <w:jc w:val="center"/>
      </w:pPr>
      <w:r>
        <w:rPr>
          <w:noProof/>
        </w:rPr>
        <w:lastRenderedPageBreak/>
        <w:drawing>
          <wp:inline distT="0" distB="0" distL="0" distR="0" wp14:anchorId="09A5EA36" wp14:editId="3D16DAA8">
            <wp:extent cx="6400800" cy="3476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400800" cy="3476625"/>
                    </a:xfrm>
                    <a:prstGeom prst="rect">
                      <a:avLst/>
                    </a:prstGeom>
                  </pic:spPr>
                </pic:pic>
              </a:graphicData>
            </a:graphic>
          </wp:inline>
        </w:drawing>
      </w:r>
    </w:p>
    <w:p w14:paraId="4F0F319E" w14:textId="77777777" w:rsidR="00645A15" w:rsidRDefault="002068AE">
      <w:pPr>
        <w:spacing w:before="40" w:after="120"/>
        <w:jc w:val="center"/>
      </w:pPr>
      <w:r>
        <w:rPr>
          <w:i/>
          <w:iCs/>
          <w:color w:val="666666"/>
          <w:sz w:val="18"/>
          <w:szCs w:val="18"/>
        </w:rPr>
        <w:t>Figure 7 — Monthly New Cases Heatmap: Top 20 Counties (Yellow = Low, Red = High)</w:t>
      </w:r>
    </w:p>
    <w:p w14:paraId="14EF69BF" w14:textId="77777777" w:rsidR="00645A15" w:rsidRDefault="00645A15">
      <w:pPr>
        <w:spacing w:before="60"/>
      </w:pPr>
    </w:p>
    <w:p w14:paraId="3FB874B7" w14:textId="77777777" w:rsidR="00645A15" w:rsidRDefault="002068AE">
      <w:pPr>
        <w:spacing w:before="80" w:after="80"/>
        <w:jc w:val="center"/>
      </w:pPr>
      <w:r>
        <w:rPr>
          <w:noProof/>
        </w:rPr>
        <w:drawing>
          <wp:inline distT="0" distB="0" distL="0" distR="0" wp14:anchorId="30CF2BFC" wp14:editId="16D72AEE">
            <wp:extent cx="6400800" cy="3105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400800" cy="3105150"/>
                    </a:xfrm>
                    <a:prstGeom prst="rect">
                      <a:avLst/>
                    </a:prstGeom>
                  </pic:spPr>
                </pic:pic>
              </a:graphicData>
            </a:graphic>
          </wp:inline>
        </w:drawing>
      </w:r>
    </w:p>
    <w:p w14:paraId="22627064" w14:textId="77777777" w:rsidR="00645A15" w:rsidRDefault="002068AE">
      <w:pPr>
        <w:spacing w:before="40" w:after="120"/>
        <w:jc w:val="center"/>
      </w:pPr>
      <w:r>
        <w:rPr>
          <w:i/>
          <w:iCs/>
          <w:color w:val="666666"/>
          <w:sz w:val="18"/>
          <w:szCs w:val="18"/>
        </w:rPr>
        <w:t>Figure 8 — Weekly Case Growth Rate Heatmap: Top 15 Counties (Red = Rapid Growth, Green = Declining)</w:t>
      </w:r>
    </w:p>
    <w:p w14:paraId="357E72FD" w14:textId="77777777" w:rsidR="00645A15" w:rsidRDefault="00645A15">
      <w:pPr>
        <w:spacing w:before="80"/>
      </w:pPr>
    </w:p>
    <w:p w14:paraId="4F0E1266" w14:textId="77777777" w:rsidR="00645A15" w:rsidRDefault="002068AE" w:rsidP="002C64D0">
      <w:pPr>
        <w:spacing w:before="60" w:after="60"/>
        <w:jc w:val="both"/>
      </w:pPr>
      <w:r>
        <w:t>Figure 7 confirms the winter 2021 Omicron surge as the single highest monthly case volume across nearly all top counties. Figure 8 reveals that growth rates were most volatile in 2020–21, with several counties experiencing week-over-week growth exceeding 100% during the initial outbreak and Alpha wave. By 2022, growth rates stabilised, reflecting the dampening effect of population immunity and vaccination.</w:t>
      </w:r>
    </w:p>
    <w:p w14:paraId="69E4BFA0" w14:textId="77777777" w:rsidR="00645A15" w:rsidRDefault="002068AE">
      <w:r>
        <w:br w:type="page"/>
      </w:r>
    </w:p>
    <w:p w14:paraId="07983E89" w14:textId="77777777" w:rsidR="00645A15" w:rsidRDefault="002068AE">
      <w:pPr>
        <w:pStyle w:val="Heading1"/>
      </w:pPr>
      <w:r>
        <w:lastRenderedPageBreak/>
        <w:t>4. State-Level Analysis: Five Focus States</w:t>
      </w:r>
    </w:p>
    <w:p w14:paraId="76A3C656" w14:textId="77777777" w:rsidR="00645A15" w:rsidRDefault="002068AE" w:rsidP="002C64D0">
      <w:pPr>
        <w:spacing w:before="60" w:after="60"/>
        <w:jc w:val="both"/>
      </w:pPr>
      <w:r>
        <w:t>Five high-burden states were selected for deeper analysis: California, Texas, Florida, New York, and Illinois. These states collectively represent the largest population centres and consistently led national case counts.</w:t>
      </w:r>
    </w:p>
    <w:p w14:paraId="03FCD6C5" w14:textId="77777777" w:rsidR="00645A15" w:rsidRDefault="002068AE">
      <w:pPr>
        <w:pStyle w:val="Heading2"/>
        <w:pBdr>
          <w:bottom w:val="single" w:sz="4" w:space="4" w:color="2E75B6"/>
        </w:pBdr>
      </w:pPr>
      <w:r>
        <w:t>4.1 Cumulative Case and Death Trends</w:t>
      </w:r>
    </w:p>
    <w:p w14:paraId="15C7EB0E" w14:textId="77777777" w:rsidR="00645A15" w:rsidRDefault="002068AE">
      <w:pPr>
        <w:spacing w:before="80" w:after="80"/>
        <w:jc w:val="center"/>
      </w:pPr>
      <w:r>
        <w:rPr>
          <w:noProof/>
        </w:rPr>
        <w:drawing>
          <wp:inline distT="0" distB="0" distL="0" distR="0" wp14:anchorId="5796B1C5" wp14:editId="4B2EAD14">
            <wp:extent cx="6219825" cy="320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219825" cy="3200400"/>
                    </a:xfrm>
                    <a:prstGeom prst="rect">
                      <a:avLst/>
                    </a:prstGeom>
                  </pic:spPr>
                </pic:pic>
              </a:graphicData>
            </a:graphic>
          </wp:inline>
        </w:drawing>
      </w:r>
    </w:p>
    <w:p w14:paraId="3191475C" w14:textId="77777777" w:rsidR="00645A15" w:rsidRDefault="002068AE">
      <w:pPr>
        <w:spacing w:before="40" w:after="120"/>
        <w:jc w:val="center"/>
      </w:pPr>
      <w:r>
        <w:rPr>
          <w:i/>
          <w:iCs/>
          <w:color w:val="666666"/>
          <w:sz w:val="18"/>
          <w:szCs w:val="18"/>
        </w:rPr>
        <w:t>Figure 9 — Cumulative Confirmed Cases Over Time: 5 Selected States</w:t>
      </w:r>
    </w:p>
    <w:p w14:paraId="2D6B7502" w14:textId="77777777" w:rsidR="00645A15" w:rsidRDefault="00645A15">
      <w:pPr>
        <w:spacing w:before="60"/>
      </w:pPr>
    </w:p>
    <w:p w14:paraId="0E748660" w14:textId="77777777" w:rsidR="00645A15" w:rsidRDefault="002068AE">
      <w:pPr>
        <w:spacing w:before="80" w:after="80"/>
        <w:jc w:val="center"/>
      </w:pPr>
      <w:r>
        <w:rPr>
          <w:noProof/>
        </w:rPr>
        <w:drawing>
          <wp:inline distT="0" distB="0" distL="0" distR="0" wp14:anchorId="58B2C24A" wp14:editId="5CD46B8B">
            <wp:extent cx="6219825" cy="3200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219825" cy="3200400"/>
                    </a:xfrm>
                    <a:prstGeom prst="rect">
                      <a:avLst/>
                    </a:prstGeom>
                  </pic:spPr>
                </pic:pic>
              </a:graphicData>
            </a:graphic>
          </wp:inline>
        </w:drawing>
      </w:r>
    </w:p>
    <w:p w14:paraId="2753D0A4" w14:textId="77777777" w:rsidR="00645A15" w:rsidRDefault="002068AE">
      <w:pPr>
        <w:spacing w:before="40" w:after="120"/>
        <w:jc w:val="center"/>
      </w:pPr>
      <w:r>
        <w:rPr>
          <w:i/>
          <w:iCs/>
          <w:color w:val="666666"/>
          <w:sz w:val="18"/>
          <w:szCs w:val="18"/>
        </w:rPr>
        <w:t>Figure 10 — Cumulative Deaths Over Time: 5 Selected States</w:t>
      </w:r>
    </w:p>
    <w:p w14:paraId="5577ED28" w14:textId="77777777" w:rsidR="00645A15" w:rsidRDefault="00645A15">
      <w:pPr>
        <w:spacing w:before="80"/>
      </w:pPr>
    </w:p>
    <w:p w14:paraId="74D1FF9B" w14:textId="77777777" w:rsidR="00645A15" w:rsidRDefault="002068AE">
      <w:pPr>
        <w:spacing w:before="60" w:after="60"/>
      </w:pPr>
      <w:r>
        <w:lastRenderedPageBreak/>
        <w:t>California leads all five states in total confirmed cases, reaching approximately 12.1 million by March 2023. Texas and Florida follow closely. New York, despite being the hardest-hit early in the pandemic (March–April 2020), was ultimately surpassed in total case count due to the larger populations of California, Texas, and Florida.</w:t>
      </w:r>
    </w:p>
    <w:p w14:paraId="3747C29D" w14:textId="77777777" w:rsidR="00645A15" w:rsidRDefault="002068AE">
      <w:pPr>
        <w:pStyle w:val="Heading2"/>
        <w:pBdr>
          <w:bottom w:val="single" w:sz="4" w:space="4" w:color="2E75B6"/>
        </w:pBdr>
      </w:pPr>
      <w:r>
        <w:t>4.2 Daily and Weekly New Cases</w:t>
      </w:r>
    </w:p>
    <w:p w14:paraId="5701CAB0" w14:textId="77777777" w:rsidR="00645A15" w:rsidRDefault="002068AE">
      <w:pPr>
        <w:spacing w:before="80" w:after="80"/>
        <w:jc w:val="center"/>
      </w:pPr>
      <w:r>
        <w:rPr>
          <w:noProof/>
        </w:rPr>
        <w:drawing>
          <wp:inline distT="0" distB="0" distL="0" distR="0" wp14:anchorId="5C2EAB74" wp14:editId="057479EE">
            <wp:extent cx="6219825" cy="3200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219825" cy="3200400"/>
                    </a:xfrm>
                    <a:prstGeom prst="rect">
                      <a:avLst/>
                    </a:prstGeom>
                  </pic:spPr>
                </pic:pic>
              </a:graphicData>
            </a:graphic>
          </wp:inline>
        </w:drawing>
      </w:r>
    </w:p>
    <w:p w14:paraId="7AC9B0FA" w14:textId="77777777" w:rsidR="00645A15" w:rsidRDefault="002068AE">
      <w:pPr>
        <w:spacing w:before="40" w:after="120"/>
        <w:jc w:val="center"/>
      </w:pPr>
      <w:r>
        <w:rPr>
          <w:i/>
          <w:iCs/>
          <w:color w:val="666666"/>
          <w:sz w:val="18"/>
          <w:szCs w:val="18"/>
        </w:rPr>
        <w:t>Figure 11 — Daily New Cases (7-Day Average): 5 Selected States</w:t>
      </w:r>
    </w:p>
    <w:p w14:paraId="26976E5E" w14:textId="77777777" w:rsidR="00645A15" w:rsidRDefault="00645A15">
      <w:pPr>
        <w:spacing w:before="60"/>
      </w:pPr>
    </w:p>
    <w:p w14:paraId="1A71D641" w14:textId="77777777" w:rsidR="00645A15" w:rsidRDefault="002068AE">
      <w:pPr>
        <w:spacing w:before="80" w:after="80"/>
        <w:jc w:val="center"/>
      </w:pPr>
      <w:r>
        <w:rPr>
          <w:noProof/>
        </w:rPr>
        <w:drawing>
          <wp:inline distT="0" distB="0" distL="0" distR="0" wp14:anchorId="60764B71" wp14:editId="35391FCB">
            <wp:extent cx="6219825" cy="3200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219825" cy="3200400"/>
                    </a:xfrm>
                    <a:prstGeom prst="rect">
                      <a:avLst/>
                    </a:prstGeom>
                  </pic:spPr>
                </pic:pic>
              </a:graphicData>
            </a:graphic>
          </wp:inline>
        </w:drawing>
      </w:r>
    </w:p>
    <w:p w14:paraId="1C3547BE" w14:textId="77777777" w:rsidR="00645A15" w:rsidRDefault="002068AE">
      <w:pPr>
        <w:spacing w:before="40" w:after="120"/>
        <w:jc w:val="center"/>
      </w:pPr>
      <w:r>
        <w:rPr>
          <w:i/>
          <w:iCs/>
          <w:color w:val="666666"/>
          <w:sz w:val="18"/>
          <w:szCs w:val="18"/>
        </w:rPr>
        <w:t>Figure 12 — Weekly New Cases: 5 Selected States</w:t>
      </w:r>
    </w:p>
    <w:p w14:paraId="430E0C7B" w14:textId="77777777" w:rsidR="00645A15" w:rsidRDefault="00645A15">
      <w:pPr>
        <w:spacing w:before="60"/>
      </w:pPr>
    </w:p>
    <w:p w14:paraId="0D0196F7" w14:textId="77777777" w:rsidR="00645A15" w:rsidRDefault="002068AE">
      <w:pPr>
        <w:spacing w:before="80" w:after="80"/>
        <w:jc w:val="center"/>
      </w:pPr>
      <w:r>
        <w:rPr>
          <w:noProof/>
        </w:rPr>
        <w:lastRenderedPageBreak/>
        <w:drawing>
          <wp:inline distT="0" distB="0" distL="0" distR="0" wp14:anchorId="6B857E3E" wp14:editId="7B490602">
            <wp:extent cx="6219825" cy="3200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219825" cy="3200400"/>
                    </a:xfrm>
                    <a:prstGeom prst="rect">
                      <a:avLst/>
                    </a:prstGeom>
                  </pic:spPr>
                </pic:pic>
              </a:graphicData>
            </a:graphic>
          </wp:inline>
        </w:drawing>
      </w:r>
    </w:p>
    <w:p w14:paraId="110931C3" w14:textId="77777777" w:rsidR="00645A15" w:rsidRDefault="002068AE">
      <w:pPr>
        <w:spacing w:before="40" w:after="120"/>
        <w:jc w:val="center"/>
      </w:pPr>
      <w:r>
        <w:rPr>
          <w:i/>
          <w:iCs/>
          <w:color w:val="666666"/>
          <w:sz w:val="18"/>
          <w:szCs w:val="18"/>
        </w:rPr>
        <w:t>Figure 13 — Monthly New Cases: 5 Selected States</w:t>
      </w:r>
    </w:p>
    <w:p w14:paraId="28C6C9E0" w14:textId="77777777" w:rsidR="00645A15" w:rsidRDefault="00645A15">
      <w:pPr>
        <w:spacing w:before="80"/>
      </w:pPr>
    </w:p>
    <w:p w14:paraId="6D3B6D84" w14:textId="77777777" w:rsidR="00645A15" w:rsidRDefault="002068AE" w:rsidP="002C64D0">
      <w:pPr>
        <w:spacing w:before="60" w:after="60"/>
        <w:jc w:val="both"/>
      </w:pPr>
      <w:r>
        <w:t>The daily 7-day average (Figure 11) clearly shows the Omicron surge in January 2022 as the dominant spike across all five states, dwarfing all prior waves in case volume. California's surge was particularly sharp. The monthly view (Figure 13) highlights that January 2022 was the single worst month for new cases in all five states simultaneously — an important finding for future pandemic preparedness planning.</w:t>
      </w:r>
    </w:p>
    <w:p w14:paraId="1BE54450" w14:textId="77777777" w:rsidR="00645A15" w:rsidRDefault="002068AE">
      <w:r>
        <w:br w:type="page"/>
      </w:r>
    </w:p>
    <w:p w14:paraId="457A5F25" w14:textId="77777777" w:rsidR="00645A15" w:rsidRDefault="002068AE">
      <w:pPr>
        <w:pStyle w:val="Heading1"/>
      </w:pPr>
      <w:r>
        <w:lastRenderedPageBreak/>
        <w:t>5. Time Series Modelling</w:t>
      </w:r>
    </w:p>
    <w:p w14:paraId="02A0DD1F" w14:textId="77777777" w:rsidR="00645A15" w:rsidRDefault="002068AE">
      <w:pPr>
        <w:pStyle w:val="Heading2"/>
        <w:pBdr>
          <w:bottom w:val="single" w:sz="4" w:space="4" w:color="2E75B6"/>
        </w:pBdr>
      </w:pPr>
      <w:r>
        <w:t>5.1 Stationarity Check — Augmented Dickey-Fuller Test</w:t>
      </w:r>
    </w:p>
    <w:p w14:paraId="704F9718" w14:textId="77777777" w:rsidR="00645A15" w:rsidRDefault="002068AE">
      <w:pPr>
        <w:spacing w:before="60" w:after="60"/>
      </w:pPr>
      <w:r>
        <w:t>Before fitting an ARIMA model, the time series must be stationary (constant mean and variance over time). The ADF test was applied to California's daily new case series.</w:t>
      </w:r>
    </w:p>
    <w:p w14:paraId="386473B3" w14:textId="77777777" w:rsidR="00645A15" w:rsidRDefault="00645A15">
      <w:pPr>
        <w:spacing w:before="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645A15" w14:paraId="290A54EE" w14:textId="77777777">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40" w:type="dxa"/>
              <w:bottom w:w="80" w:type="dxa"/>
              <w:right w:w="140" w:type="dxa"/>
            </w:tcMar>
          </w:tcPr>
          <w:p w14:paraId="00B76DE0" w14:textId="77777777" w:rsidR="00645A15" w:rsidRDefault="002068AE">
            <w:r>
              <w:rPr>
                <w:b/>
                <w:bCs/>
                <w:color w:val="FFFFFF"/>
                <w:sz w:val="20"/>
                <w:szCs w:val="20"/>
              </w:rPr>
              <w:t>Metric</w:t>
            </w:r>
          </w:p>
        </w:tc>
        <w:tc>
          <w:tcPr>
            <w:tcW w:w="516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40" w:type="dxa"/>
              <w:bottom w:w="80" w:type="dxa"/>
              <w:right w:w="140" w:type="dxa"/>
            </w:tcMar>
          </w:tcPr>
          <w:p w14:paraId="17FEE7AB" w14:textId="77777777" w:rsidR="00645A15" w:rsidRDefault="002068AE">
            <w:r>
              <w:rPr>
                <w:b/>
                <w:bCs/>
                <w:color w:val="FFFFFF"/>
                <w:sz w:val="20"/>
                <w:szCs w:val="20"/>
              </w:rPr>
              <w:t>Value</w:t>
            </w:r>
          </w:p>
        </w:tc>
      </w:tr>
      <w:tr w:rsidR="00645A15" w14:paraId="5E70D73A" w14:textId="77777777">
        <w:tc>
          <w:tcPr>
            <w:tcW w:w="4200" w:type="dxa"/>
            <w:tcBorders>
              <w:top w:val="single" w:sz="1" w:space="0" w:color="CCCCCC"/>
              <w:left w:val="single" w:sz="1" w:space="0" w:color="CCCCCC"/>
              <w:bottom w:val="single" w:sz="1" w:space="0" w:color="CCCCCC"/>
              <w:right w:val="single" w:sz="1" w:space="0" w:color="CCCCCC"/>
            </w:tcBorders>
            <w:shd w:val="clear" w:color="auto" w:fill="D9E2F3"/>
            <w:tcMar>
              <w:top w:w="70" w:type="dxa"/>
              <w:left w:w="140" w:type="dxa"/>
              <w:bottom w:w="70" w:type="dxa"/>
              <w:right w:w="140" w:type="dxa"/>
            </w:tcMar>
          </w:tcPr>
          <w:p w14:paraId="0C68EA38" w14:textId="77777777" w:rsidR="00645A15" w:rsidRDefault="002068AE">
            <w:r>
              <w:rPr>
                <w:b/>
                <w:bCs/>
                <w:sz w:val="20"/>
                <w:szCs w:val="20"/>
              </w:rPr>
              <w:t>ADF Statistic</w:t>
            </w:r>
          </w:p>
        </w:tc>
        <w:tc>
          <w:tcPr>
            <w:tcW w:w="5160" w:type="dxa"/>
            <w:tcBorders>
              <w:top w:val="single" w:sz="1" w:space="0" w:color="CCCCCC"/>
              <w:left w:val="single" w:sz="1" w:space="0" w:color="CCCCCC"/>
              <w:bottom w:val="single" w:sz="1" w:space="0" w:color="CCCCCC"/>
              <w:right w:val="single" w:sz="1" w:space="0" w:color="CCCCCC"/>
            </w:tcBorders>
            <w:shd w:val="clear" w:color="auto" w:fill="D9E2F3"/>
            <w:tcMar>
              <w:top w:w="70" w:type="dxa"/>
              <w:left w:w="140" w:type="dxa"/>
              <w:bottom w:w="70" w:type="dxa"/>
              <w:right w:w="140" w:type="dxa"/>
            </w:tcMar>
          </w:tcPr>
          <w:p w14:paraId="2FEE2792" w14:textId="77777777" w:rsidR="00645A15" w:rsidRDefault="002068AE">
            <w:r>
              <w:rPr>
                <w:sz w:val="20"/>
                <w:szCs w:val="20"/>
              </w:rPr>
              <w:t>-4.351</w:t>
            </w:r>
          </w:p>
        </w:tc>
      </w:tr>
      <w:tr w:rsidR="00645A15" w14:paraId="21A6B14B"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29FDC3B2" w14:textId="77777777" w:rsidR="00645A15" w:rsidRDefault="002068AE">
            <w:r>
              <w:rPr>
                <w:b/>
                <w:bCs/>
                <w:sz w:val="20"/>
                <w:szCs w:val="20"/>
              </w:rPr>
              <w:t>p-value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074949F3" w14:textId="77777777" w:rsidR="00645A15" w:rsidRDefault="002068AE">
            <w:r>
              <w:rPr>
                <w:sz w:val="20"/>
                <w:szCs w:val="20"/>
              </w:rPr>
              <w:t>0.000363 (&lt; 0.001)</w:t>
            </w:r>
          </w:p>
        </w:tc>
      </w:tr>
      <w:tr w:rsidR="00645A15" w14:paraId="5E7CF8B4" w14:textId="77777777">
        <w:tc>
          <w:tcPr>
            <w:tcW w:w="4200" w:type="dxa"/>
            <w:tcBorders>
              <w:top w:val="single" w:sz="1" w:space="0" w:color="CCCCCC"/>
              <w:left w:val="single" w:sz="1" w:space="0" w:color="CCCCCC"/>
              <w:bottom w:val="single" w:sz="1" w:space="0" w:color="CCCCCC"/>
              <w:right w:val="single" w:sz="1" w:space="0" w:color="CCCCCC"/>
            </w:tcBorders>
            <w:shd w:val="clear" w:color="auto" w:fill="D9E2F3"/>
            <w:tcMar>
              <w:top w:w="70" w:type="dxa"/>
              <w:left w:w="140" w:type="dxa"/>
              <w:bottom w:w="70" w:type="dxa"/>
              <w:right w:w="140" w:type="dxa"/>
            </w:tcMar>
          </w:tcPr>
          <w:p w14:paraId="12EC3EB3" w14:textId="77777777" w:rsidR="00645A15" w:rsidRDefault="002068AE">
            <w:r>
              <w:rPr>
                <w:b/>
                <w:bCs/>
                <w:sz w:val="20"/>
                <w:szCs w:val="20"/>
              </w:rPr>
              <w:t>Conclusion</w:t>
            </w:r>
          </w:p>
        </w:tc>
        <w:tc>
          <w:tcPr>
            <w:tcW w:w="5160" w:type="dxa"/>
            <w:tcBorders>
              <w:top w:val="single" w:sz="1" w:space="0" w:color="CCCCCC"/>
              <w:left w:val="single" w:sz="1" w:space="0" w:color="CCCCCC"/>
              <w:bottom w:val="single" w:sz="1" w:space="0" w:color="CCCCCC"/>
              <w:right w:val="single" w:sz="1" w:space="0" w:color="CCCCCC"/>
            </w:tcBorders>
            <w:shd w:val="clear" w:color="auto" w:fill="D9E2F3"/>
            <w:tcMar>
              <w:top w:w="70" w:type="dxa"/>
              <w:left w:w="140" w:type="dxa"/>
              <w:bottom w:w="70" w:type="dxa"/>
              <w:right w:w="140" w:type="dxa"/>
            </w:tcMar>
          </w:tcPr>
          <w:p w14:paraId="0C2E1233" w14:textId="77777777" w:rsidR="00645A15" w:rsidRDefault="002068AE">
            <w:r>
              <w:rPr>
                <w:sz w:val="20"/>
                <w:szCs w:val="20"/>
              </w:rPr>
              <w:t>Series is stationary (p &lt; 0.05) — no differencing required (d = 0)</w:t>
            </w:r>
          </w:p>
        </w:tc>
      </w:tr>
    </w:tbl>
    <w:p w14:paraId="7B5E0AD9" w14:textId="77777777" w:rsidR="00645A15" w:rsidRDefault="00645A15">
      <w:pPr>
        <w:spacing w:before="120"/>
      </w:pPr>
    </w:p>
    <w:p w14:paraId="61D31187" w14:textId="77777777" w:rsidR="00645A15" w:rsidRDefault="002068AE">
      <w:pPr>
        <w:spacing w:before="60" w:after="60"/>
      </w:pPr>
      <w:r>
        <w:t>The very low p-value confirms stationarity, meaning the series does not have a long-term trend or unit root. This is expected for daily new cases (as opposed to cumulative totals), since it fluctuates around a relatively stable mean after the initial outbreak phase.</w:t>
      </w:r>
    </w:p>
    <w:p w14:paraId="79545B0E" w14:textId="77777777" w:rsidR="00645A15" w:rsidRDefault="002068AE">
      <w:pPr>
        <w:pStyle w:val="Heading2"/>
        <w:pBdr>
          <w:bottom w:val="single" w:sz="4" w:space="4" w:color="2E75B6"/>
        </w:pBdr>
      </w:pPr>
      <w:r>
        <w:t>5.2 ACF and PACF Analysis</w:t>
      </w:r>
    </w:p>
    <w:p w14:paraId="34362152" w14:textId="77777777" w:rsidR="00645A15" w:rsidRDefault="002068AE">
      <w:pPr>
        <w:spacing w:before="60" w:after="60"/>
      </w:pPr>
      <w:r>
        <w:t>Autocorrelation Function (ACF) and Partial Autocorrelation Function (PACF) plots were used to identify the ARIMA order parameters p (AR order) and q (MA order).</w:t>
      </w:r>
    </w:p>
    <w:p w14:paraId="1BA91CBC" w14:textId="77777777" w:rsidR="00645A15" w:rsidRDefault="00645A15">
      <w:pPr>
        <w:spacing w:before="60"/>
      </w:pPr>
    </w:p>
    <w:p w14:paraId="41C018E3" w14:textId="77777777" w:rsidR="00645A15" w:rsidRDefault="002068AE">
      <w:pPr>
        <w:spacing w:before="80" w:after="80"/>
        <w:jc w:val="center"/>
      </w:pPr>
      <w:r>
        <w:rPr>
          <w:noProof/>
        </w:rPr>
        <w:drawing>
          <wp:inline distT="0" distB="0" distL="0" distR="0" wp14:anchorId="3B7873BD" wp14:editId="16FCDAA0">
            <wp:extent cx="4572000" cy="2286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572000" cy="2286000"/>
                    </a:xfrm>
                    <a:prstGeom prst="rect">
                      <a:avLst/>
                    </a:prstGeom>
                  </pic:spPr>
                </pic:pic>
              </a:graphicData>
            </a:graphic>
          </wp:inline>
        </w:drawing>
      </w:r>
    </w:p>
    <w:p w14:paraId="018785F9" w14:textId="77777777" w:rsidR="00645A15" w:rsidRDefault="002068AE">
      <w:pPr>
        <w:spacing w:before="40" w:after="120"/>
        <w:jc w:val="center"/>
      </w:pPr>
      <w:r>
        <w:rPr>
          <w:i/>
          <w:iCs/>
          <w:color w:val="666666"/>
          <w:sz w:val="18"/>
          <w:szCs w:val="18"/>
        </w:rPr>
        <w:t xml:space="preserve">Figure 14 — ACF Plot: Significant autocorrelation at lag 1, gradual decay → q = 1 </w:t>
      </w:r>
    </w:p>
    <w:p w14:paraId="472B5C33" w14:textId="77777777" w:rsidR="00645A15" w:rsidRDefault="00645A15">
      <w:pPr>
        <w:spacing w:before="40"/>
      </w:pPr>
    </w:p>
    <w:p w14:paraId="657CF9F3" w14:textId="77777777" w:rsidR="00645A15" w:rsidRDefault="002068AE">
      <w:pPr>
        <w:spacing w:before="80" w:after="80"/>
        <w:jc w:val="center"/>
      </w:pPr>
      <w:r>
        <w:rPr>
          <w:noProof/>
        </w:rPr>
        <w:lastRenderedPageBreak/>
        <w:drawing>
          <wp:inline distT="0" distB="0" distL="0" distR="0" wp14:anchorId="7D5BF21B" wp14:editId="4B63E8AC">
            <wp:extent cx="4572000" cy="2286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572000" cy="2286000"/>
                    </a:xfrm>
                    <a:prstGeom prst="rect">
                      <a:avLst/>
                    </a:prstGeom>
                  </pic:spPr>
                </pic:pic>
              </a:graphicData>
            </a:graphic>
          </wp:inline>
        </w:drawing>
      </w:r>
    </w:p>
    <w:p w14:paraId="068DDA63" w14:textId="77777777" w:rsidR="00645A15" w:rsidRDefault="002068AE">
      <w:pPr>
        <w:spacing w:before="40" w:after="120"/>
        <w:jc w:val="center"/>
      </w:pPr>
      <w:r>
        <w:rPr>
          <w:i/>
          <w:iCs/>
          <w:color w:val="666666"/>
          <w:sz w:val="18"/>
          <w:szCs w:val="18"/>
        </w:rPr>
        <w:t xml:space="preserve">Figure 15 — PACF Plot: Sharp </w:t>
      </w:r>
      <w:r w:rsidR="002C64D0">
        <w:rPr>
          <w:i/>
          <w:iCs/>
          <w:color w:val="666666"/>
          <w:sz w:val="18"/>
          <w:szCs w:val="18"/>
        </w:rPr>
        <w:t>cut-off</w:t>
      </w:r>
      <w:r>
        <w:rPr>
          <w:i/>
          <w:iCs/>
          <w:color w:val="666666"/>
          <w:sz w:val="18"/>
          <w:szCs w:val="18"/>
        </w:rPr>
        <w:t xml:space="preserve"> after lag 2 → p = 2</w:t>
      </w:r>
    </w:p>
    <w:p w14:paraId="0AFFCC27" w14:textId="77777777" w:rsidR="00645A15" w:rsidRDefault="00645A15">
      <w:pPr>
        <w:spacing w:before="80"/>
      </w:pPr>
    </w:p>
    <w:p w14:paraId="1247B2E3" w14:textId="77777777" w:rsidR="00645A15" w:rsidRDefault="002068AE" w:rsidP="002C64D0">
      <w:pPr>
        <w:spacing w:before="60" w:after="60"/>
        <w:jc w:val="both"/>
      </w:pPr>
      <w:r>
        <w:rPr>
          <w:b/>
          <w:bCs/>
        </w:rPr>
        <w:t xml:space="preserve">Parameter selection rationale: </w:t>
      </w:r>
      <w:r>
        <w:t>The PACF shows strong spikes at lags 1 and 2, dropping off sharply thereafter, indicating an autoregressive component of p = 2. The ACF shows significant correlation at lag 1 with gradual decay, suggesting a moving average component of q = 1 or 2. Combined with d = 0 (stationarity confirmed), models ARIMA</w:t>
      </w:r>
      <w:r w:rsidR="002C64D0">
        <w:rPr>
          <w:lang w:val="en-US"/>
        </w:rPr>
        <w:t xml:space="preserve"> </w:t>
      </w:r>
      <w:r>
        <w:t>(2,0,1) and ARIMA</w:t>
      </w:r>
      <w:r w:rsidR="002C64D0">
        <w:rPr>
          <w:lang w:val="en-US"/>
        </w:rPr>
        <w:t xml:space="preserve"> </w:t>
      </w:r>
      <w:r>
        <w:t>(2,0,2) were evaluated.</w:t>
      </w:r>
    </w:p>
    <w:p w14:paraId="63A66336" w14:textId="77777777" w:rsidR="00645A15" w:rsidRDefault="002068AE">
      <w:pPr>
        <w:pStyle w:val="Heading2"/>
        <w:pBdr>
          <w:bottom w:val="single" w:sz="4" w:space="4" w:color="2E75B6"/>
        </w:pBdr>
      </w:pPr>
      <w:r>
        <w:t>5.3 ARIMA Model Training and Evaluation</w:t>
      </w:r>
    </w:p>
    <w:p w14:paraId="01390A07" w14:textId="77777777" w:rsidR="00645A15" w:rsidRDefault="00645A15">
      <w:pPr>
        <w:spacing w:before="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45A15" w14:paraId="49905A03"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0442683E" w14:textId="77777777" w:rsidR="00645A15" w:rsidRDefault="002068AE">
            <w:r>
              <w:rPr>
                <w:b/>
                <w:bCs/>
                <w:color w:val="FFFFFF"/>
                <w:sz w:val="20"/>
                <w:szCs w:val="20"/>
              </w:rPr>
              <w:t>Model</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02A5C0C2" w14:textId="77777777" w:rsidR="00645A15" w:rsidRDefault="002068AE">
            <w:r>
              <w:rPr>
                <w:b/>
                <w:bCs/>
                <w:color w:val="FFFFFF"/>
                <w:sz w:val="20"/>
                <w:szCs w:val="20"/>
              </w:rPr>
              <w:t>MAE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2BE09439" w14:textId="77777777" w:rsidR="00645A15" w:rsidRDefault="002068AE">
            <w:r>
              <w:rPr>
                <w:b/>
                <w:bCs/>
                <w:color w:val="FFFFFF"/>
                <w:sz w:val="20"/>
                <w:szCs w:val="20"/>
              </w:rPr>
              <w:t>RMSE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61A31CAF" w14:textId="77777777" w:rsidR="00645A15" w:rsidRDefault="002068AE">
            <w:r>
              <w:rPr>
                <w:b/>
                <w:bCs/>
                <w:color w:val="FFFFFF"/>
                <w:sz w:val="20"/>
                <w:szCs w:val="20"/>
              </w:rPr>
              <w:t>Status</w:t>
            </w:r>
          </w:p>
        </w:tc>
      </w:tr>
      <w:tr w:rsidR="00645A15" w14:paraId="505349EC"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40" w:type="dxa"/>
              <w:bottom w:w="70" w:type="dxa"/>
              <w:right w:w="140" w:type="dxa"/>
            </w:tcMar>
          </w:tcPr>
          <w:p w14:paraId="41DA0945" w14:textId="77777777" w:rsidR="00645A15" w:rsidRDefault="002C64D0">
            <w:r>
              <w:rPr>
                <w:sz w:val="20"/>
                <w:szCs w:val="20"/>
              </w:rPr>
              <w:t>ARIMA (</w:t>
            </w:r>
            <w:r w:rsidR="002068AE">
              <w:rPr>
                <w:sz w:val="20"/>
                <w:szCs w:val="20"/>
              </w:rPr>
              <w:t>2,0,1)</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40" w:type="dxa"/>
              <w:bottom w:w="70" w:type="dxa"/>
              <w:right w:w="140" w:type="dxa"/>
            </w:tcMar>
          </w:tcPr>
          <w:p w14:paraId="64A27049" w14:textId="77777777" w:rsidR="00645A15" w:rsidRDefault="002068AE">
            <w:r>
              <w:rPr>
                <w:sz w:val="20"/>
                <w:szCs w:val="20"/>
              </w:rPr>
              <w:t>9,959</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40" w:type="dxa"/>
              <w:bottom w:w="70" w:type="dxa"/>
              <w:right w:w="140" w:type="dxa"/>
            </w:tcMar>
          </w:tcPr>
          <w:p w14:paraId="46BA80A7" w14:textId="77777777" w:rsidR="00645A15" w:rsidRDefault="002068AE">
            <w:r>
              <w:rPr>
                <w:sz w:val="20"/>
                <w:szCs w:val="20"/>
              </w:rPr>
              <w:t>11,204</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40" w:type="dxa"/>
              <w:bottom w:w="70" w:type="dxa"/>
              <w:right w:w="140" w:type="dxa"/>
            </w:tcMar>
          </w:tcPr>
          <w:p w14:paraId="7BE6623A" w14:textId="77777777" w:rsidR="00645A15" w:rsidRDefault="002068AE">
            <w:r>
              <w:rPr>
                <w:sz w:val="20"/>
                <w:szCs w:val="20"/>
              </w:rPr>
              <w:t xml:space="preserve"> Selected</w:t>
            </w:r>
          </w:p>
        </w:tc>
      </w:tr>
      <w:tr w:rsidR="00645A15" w14:paraId="44C42FDD"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2647D082" w14:textId="77777777" w:rsidR="00645A15" w:rsidRDefault="002C64D0">
            <w:r>
              <w:rPr>
                <w:sz w:val="20"/>
                <w:szCs w:val="20"/>
              </w:rPr>
              <w:t>ARIMA (</w:t>
            </w:r>
            <w:r w:rsidR="002068AE">
              <w:rPr>
                <w:sz w:val="20"/>
                <w:szCs w:val="20"/>
              </w:rPr>
              <w:t>2,0,2)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2C16C2AD" w14:textId="77777777" w:rsidR="00645A15" w:rsidRDefault="002068AE">
            <w:r>
              <w:rPr>
                <w:sz w:val="20"/>
                <w:szCs w:val="20"/>
              </w:rPr>
              <w:t>10,058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00372A36" w14:textId="77777777" w:rsidR="00645A15" w:rsidRDefault="002068AE">
            <w:r>
              <w:rPr>
                <w:sz w:val="20"/>
                <w:szCs w:val="20"/>
              </w:rPr>
              <w:t>11,298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5F5B1868" w14:textId="77777777" w:rsidR="00645A15" w:rsidRDefault="002068AE">
            <w:r>
              <w:rPr>
                <w:sz w:val="20"/>
                <w:szCs w:val="20"/>
              </w:rPr>
              <w:t>Not selected</w:t>
            </w:r>
          </w:p>
        </w:tc>
      </w:tr>
    </w:tbl>
    <w:p w14:paraId="356D1098" w14:textId="77777777" w:rsidR="00645A15" w:rsidRDefault="00645A15">
      <w:pPr>
        <w:spacing w:before="120"/>
      </w:pPr>
    </w:p>
    <w:p w14:paraId="342272DB" w14:textId="77777777" w:rsidR="00645A15" w:rsidRDefault="002C64D0" w:rsidP="002C64D0">
      <w:pPr>
        <w:spacing w:before="60" w:after="60"/>
        <w:jc w:val="both"/>
      </w:pPr>
      <w:r>
        <w:t>ARIMA (</w:t>
      </w:r>
      <w:r w:rsidR="002068AE">
        <w:t xml:space="preserve">2,0,1) was selected as the final model based on marginally lower MAE and RMSE. The difference is small but consistent. </w:t>
      </w:r>
      <w:r w:rsidR="002068AE" w:rsidRPr="002C64D0">
        <w:rPr>
          <w:b/>
        </w:rPr>
        <w:t>MAPE was not used as a primary metric because California's daily case data contains zero values (days with no reported or corrected cases), causing division-by-zero errors that produce infinite MAPE values</w:t>
      </w:r>
      <w:r w:rsidR="002068AE">
        <w:t>.</w:t>
      </w:r>
    </w:p>
    <w:p w14:paraId="289D1B05" w14:textId="77777777" w:rsidR="00645A15" w:rsidRDefault="00645A15" w:rsidP="002C64D0">
      <w:pPr>
        <w:spacing w:before="80"/>
        <w:jc w:val="both"/>
      </w:pPr>
    </w:p>
    <w:p w14:paraId="2E225207" w14:textId="77777777" w:rsidR="00645A15" w:rsidRDefault="002068AE">
      <w:pPr>
        <w:spacing w:before="80" w:after="80"/>
        <w:jc w:val="center"/>
      </w:pPr>
      <w:r>
        <w:rPr>
          <w:noProof/>
        </w:rPr>
        <w:lastRenderedPageBreak/>
        <w:drawing>
          <wp:inline distT="0" distB="0" distL="0" distR="0" wp14:anchorId="52E1F9DB" wp14:editId="423B2B90">
            <wp:extent cx="6219825" cy="34766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219825" cy="3476625"/>
                    </a:xfrm>
                    <a:prstGeom prst="rect">
                      <a:avLst/>
                    </a:prstGeom>
                  </pic:spPr>
                </pic:pic>
              </a:graphicData>
            </a:graphic>
          </wp:inline>
        </w:drawing>
      </w:r>
    </w:p>
    <w:p w14:paraId="75B1ADC2" w14:textId="77777777" w:rsidR="00645A15" w:rsidRDefault="002068AE">
      <w:pPr>
        <w:spacing w:before="40" w:after="120"/>
        <w:jc w:val="center"/>
      </w:pPr>
      <w:r>
        <w:rPr>
          <w:i/>
          <w:iCs/>
          <w:color w:val="666666"/>
          <w:sz w:val="18"/>
          <w:szCs w:val="18"/>
        </w:rPr>
        <w:t xml:space="preserve">Figure 16 — </w:t>
      </w:r>
      <w:r w:rsidR="002C64D0">
        <w:rPr>
          <w:i/>
          <w:iCs/>
          <w:color w:val="666666"/>
          <w:sz w:val="18"/>
          <w:szCs w:val="18"/>
        </w:rPr>
        <w:t>ARIMA (</w:t>
      </w:r>
      <w:r>
        <w:rPr>
          <w:i/>
          <w:iCs/>
          <w:color w:val="666666"/>
          <w:sz w:val="18"/>
          <w:szCs w:val="18"/>
        </w:rPr>
        <w:t>2,0,1): In-Sample Fit (Train) and Out-of-Sample Forecast (Test) vs Actual</w:t>
      </w:r>
    </w:p>
    <w:p w14:paraId="3C63D5CD" w14:textId="77777777" w:rsidR="00645A15" w:rsidRDefault="00645A15">
      <w:pPr>
        <w:spacing w:before="80"/>
      </w:pPr>
    </w:p>
    <w:p w14:paraId="5D0DE9B8" w14:textId="77777777" w:rsidR="00645A15" w:rsidRDefault="002068AE" w:rsidP="002C64D0">
      <w:pPr>
        <w:spacing w:before="60" w:after="60"/>
        <w:jc w:val="both"/>
      </w:pPr>
      <w:r>
        <w:t>Figure 16 shows the model captures the overall trend well during the training period (blue/orange overlap). In the test period (green vs red), the forecast correctly predicts the downward trajectory, though it smooths out the sharp weekly reporting spikes that are common in COVID-19 data.</w:t>
      </w:r>
    </w:p>
    <w:p w14:paraId="79CC2649" w14:textId="77777777" w:rsidR="00645A15" w:rsidRDefault="002068AE">
      <w:pPr>
        <w:pStyle w:val="Heading2"/>
        <w:pBdr>
          <w:bottom w:val="single" w:sz="4" w:space="4" w:color="2E75B6"/>
        </w:pBdr>
      </w:pPr>
      <w:r>
        <w:t>5.4 LSTM Model</w:t>
      </w:r>
    </w:p>
    <w:p w14:paraId="27E5B4AF" w14:textId="77777777" w:rsidR="00645A15" w:rsidRDefault="002068AE">
      <w:pPr>
        <w:spacing w:before="60" w:after="60"/>
      </w:pPr>
      <w:r>
        <w:t>A Long Short-Term Memory (LSTM) neural network was implemented as an alternative to ARIMA, capable of learning non-linear temporal patterns.</w:t>
      </w:r>
    </w:p>
    <w:p w14:paraId="32516249" w14:textId="77777777" w:rsidR="00645A15" w:rsidRDefault="00645A15">
      <w:pPr>
        <w:spacing w:before="60"/>
      </w:pPr>
    </w:p>
    <w:tbl>
      <w:tblPr>
        <w:tblW w:w="468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tblGrid>
      <w:tr w:rsidR="002C64D0" w14:paraId="395D0791" w14:textId="77777777" w:rsidTr="002C64D0">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773453A6" w14:textId="77777777" w:rsidR="002C64D0" w:rsidRDefault="002C64D0">
            <w:r>
              <w:rPr>
                <w:b/>
                <w:bCs/>
                <w:color w:val="FFFFFF"/>
                <w:sz w:val="20"/>
                <w:szCs w:val="20"/>
              </w:rPr>
              <w:t>Parameter</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2D79EBEF" w14:textId="77777777" w:rsidR="002C64D0" w:rsidRDefault="002C64D0">
            <w:r>
              <w:rPr>
                <w:b/>
                <w:bCs/>
                <w:color w:val="FFFFFF"/>
                <w:sz w:val="20"/>
                <w:szCs w:val="20"/>
              </w:rPr>
              <w:t>Value</w:t>
            </w:r>
          </w:p>
        </w:tc>
      </w:tr>
      <w:tr w:rsidR="002C64D0" w14:paraId="3750763E" w14:textId="77777777" w:rsidTr="002C64D0">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40" w:type="dxa"/>
              <w:bottom w:w="70" w:type="dxa"/>
              <w:right w:w="140" w:type="dxa"/>
            </w:tcMar>
          </w:tcPr>
          <w:p w14:paraId="40F8140D" w14:textId="77777777" w:rsidR="002C64D0" w:rsidRDefault="002C64D0">
            <w:r>
              <w:rPr>
                <w:sz w:val="20"/>
                <w:szCs w:val="20"/>
              </w:rPr>
              <w:t>Sequence Length</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40" w:type="dxa"/>
              <w:bottom w:w="70" w:type="dxa"/>
              <w:right w:w="140" w:type="dxa"/>
            </w:tcMar>
          </w:tcPr>
          <w:p w14:paraId="0826106A" w14:textId="77777777" w:rsidR="002C64D0" w:rsidRDefault="002C64D0">
            <w:r>
              <w:rPr>
                <w:sz w:val="20"/>
                <w:szCs w:val="20"/>
              </w:rPr>
              <w:t>30 days</w:t>
            </w:r>
          </w:p>
        </w:tc>
      </w:tr>
      <w:tr w:rsidR="002C64D0" w14:paraId="64D01585" w14:textId="77777777" w:rsidTr="002C64D0">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24D50A28" w14:textId="77777777" w:rsidR="002C64D0" w:rsidRDefault="002C64D0">
            <w:r>
              <w:rPr>
                <w:sz w:val="20"/>
                <w:szCs w:val="20"/>
              </w:rPr>
              <w:t>Architecture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BF36E02" w14:textId="77777777" w:rsidR="002C64D0" w:rsidRDefault="002C64D0">
            <w:r>
              <w:rPr>
                <w:sz w:val="20"/>
                <w:szCs w:val="20"/>
              </w:rPr>
              <w:t xml:space="preserve">1 LSTM layer (50 units) + </w:t>
            </w:r>
            <w:proofErr w:type="gramStart"/>
            <w:r>
              <w:rPr>
                <w:sz w:val="20"/>
                <w:szCs w:val="20"/>
              </w:rPr>
              <w:t>Dense(</w:t>
            </w:r>
            <w:proofErr w:type="gramEnd"/>
            <w:r>
              <w:rPr>
                <w:sz w:val="20"/>
                <w:szCs w:val="20"/>
              </w:rPr>
              <w:t>1)</w:t>
            </w:r>
          </w:p>
        </w:tc>
      </w:tr>
      <w:tr w:rsidR="002C64D0" w14:paraId="060C9F60" w14:textId="77777777" w:rsidTr="002C64D0">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40" w:type="dxa"/>
              <w:bottom w:w="70" w:type="dxa"/>
              <w:right w:w="140" w:type="dxa"/>
            </w:tcMar>
          </w:tcPr>
          <w:p w14:paraId="1DD68482" w14:textId="77777777" w:rsidR="002C64D0" w:rsidRDefault="002C64D0">
            <w:r>
              <w:rPr>
                <w:sz w:val="20"/>
                <w:szCs w:val="20"/>
              </w:rPr>
              <w:t>Training Epochs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40" w:type="dxa"/>
              <w:bottom w:w="70" w:type="dxa"/>
              <w:right w:w="140" w:type="dxa"/>
            </w:tcMar>
          </w:tcPr>
          <w:p w14:paraId="49A62600" w14:textId="77777777" w:rsidR="002C64D0" w:rsidRDefault="002C64D0">
            <w:r>
              <w:rPr>
                <w:sz w:val="20"/>
                <w:szCs w:val="20"/>
              </w:rPr>
              <w:t>20</w:t>
            </w:r>
          </w:p>
        </w:tc>
      </w:tr>
      <w:tr w:rsidR="002C64D0" w14:paraId="4D1213E3" w14:textId="77777777" w:rsidTr="002C64D0">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2D4AE365" w14:textId="77777777" w:rsidR="002C64D0" w:rsidRDefault="002C64D0">
            <w:r>
              <w:rPr>
                <w:sz w:val="20"/>
                <w:szCs w:val="20"/>
              </w:rPr>
              <w:t>Batch Size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2D02520A" w14:textId="77777777" w:rsidR="002C64D0" w:rsidRDefault="002C64D0">
            <w:r>
              <w:rPr>
                <w:sz w:val="20"/>
                <w:szCs w:val="20"/>
              </w:rPr>
              <w:t>32</w:t>
            </w:r>
          </w:p>
        </w:tc>
      </w:tr>
      <w:tr w:rsidR="002C64D0" w14:paraId="3DF84ACA" w14:textId="77777777" w:rsidTr="002C64D0">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40" w:type="dxa"/>
              <w:bottom w:w="70" w:type="dxa"/>
              <w:right w:w="140" w:type="dxa"/>
            </w:tcMar>
          </w:tcPr>
          <w:p w14:paraId="4991C587" w14:textId="77777777" w:rsidR="002C64D0" w:rsidRDefault="002C64D0">
            <w:r>
              <w:rPr>
                <w:sz w:val="20"/>
                <w:szCs w:val="20"/>
              </w:rPr>
              <w:t>Train/Test Split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40" w:type="dxa"/>
              <w:bottom w:w="70" w:type="dxa"/>
              <w:right w:w="140" w:type="dxa"/>
            </w:tcMar>
          </w:tcPr>
          <w:p w14:paraId="7853B29E" w14:textId="77777777" w:rsidR="002C64D0" w:rsidRDefault="002C64D0">
            <w:r>
              <w:rPr>
                <w:sz w:val="20"/>
                <w:szCs w:val="20"/>
              </w:rPr>
              <w:t>80% / 20%</w:t>
            </w:r>
          </w:p>
        </w:tc>
      </w:tr>
      <w:tr w:rsidR="002C64D0" w14:paraId="486BAF16" w14:textId="77777777" w:rsidTr="002C64D0">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7959F6BB" w14:textId="77777777" w:rsidR="002C64D0" w:rsidRDefault="002C64D0">
            <w:r>
              <w:rPr>
                <w:sz w:val="20"/>
                <w:szCs w:val="20"/>
              </w:rPr>
              <w:t>MAE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0B5B4B7D" w14:textId="77777777" w:rsidR="002C64D0" w:rsidRDefault="002C64D0">
            <w:r>
              <w:rPr>
                <w:sz w:val="20"/>
                <w:szCs w:val="20"/>
              </w:rPr>
              <w:t>6,009</w:t>
            </w:r>
          </w:p>
        </w:tc>
      </w:tr>
      <w:tr w:rsidR="002C64D0" w14:paraId="0AFEFC48" w14:textId="77777777" w:rsidTr="002C64D0">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40" w:type="dxa"/>
              <w:bottom w:w="70" w:type="dxa"/>
              <w:right w:w="140" w:type="dxa"/>
            </w:tcMar>
          </w:tcPr>
          <w:p w14:paraId="6628AD11" w14:textId="77777777" w:rsidR="002C64D0" w:rsidRDefault="002C64D0">
            <w:r>
              <w:rPr>
                <w:sz w:val="20"/>
                <w:szCs w:val="20"/>
              </w:rPr>
              <w:t>RMSE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40" w:type="dxa"/>
              <w:bottom w:w="70" w:type="dxa"/>
              <w:right w:w="140" w:type="dxa"/>
            </w:tcMar>
          </w:tcPr>
          <w:p w14:paraId="4184495B" w14:textId="77777777" w:rsidR="002C64D0" w:rsidRDefault="002C64D0">
            <w:r>
              <w:rPr>
                <w:sz w:val="20"/>
                <w:szCs w:val="20"/>
              </w:rPr>
              <w:t>8,133</w:t>
            </w:r>
          </w:p>
        </w:tc>
      </w:tr>
    </w:tbl>
    <w:p w14:paraId="73210FEC" w14:textId="77777777" w:rsidR="00645A15" w:rsidRDefault="00645A15">
      <w:pPr>
        <w:spacing w:before="120"/>
      </w:pPr>
    </w:p>
    <w:p w14:paraId="566CD2A9" w14:textId="77777777" w:rsidR="00645A15" w:rsidRDefault="002068AE">
      <w:pPr>
        <w:spacing w:before="80" w:after="80"/>
        <w:jc w:val="center"/>
      </w:pPr>
      <w:r>
        <w:rPr>
          <w:noProof/>
        </w:rPr>
        <w:lastRenderedPageBreak/>
        <w:drawing>
          <wp:inline distT="0" distB="0" distL="0" distR="0" wp14:anchorId="73030774" wp14:editId="5641ECAB">
            <wp:extent cx="6219825" cy="3200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219825" cy="3200400"/>
                    </a:xfrm>
                    <a:prstGeom prst="rect">
                      <a:avLst/>
                    </a:prstGeom>
                  </pic:spPr>
                </pic:pic>
              </a:graphicData>
            </a:graphic>
          </wp:inline>
        </w:drawing>
      </w:r>
    </w:p>
    <w:p w14:paraId="27DA7609" w14:textId="77777777" w:rsidR="00645A15" w:rsidRDefault="002068AE">
      <w:pPr>
        <w:spacing w:before="40" w:after="120"/>
        <w:jc w:val="center"/>
      </w:pPr>
      <w:r>
        <w:rPr>
          <w:i/>
          <w:iCs/>
          <w:color w:val="666666"/>
          <w:sz w:val="18"/>
          <w:szCs w:val="18"/>
        </w:rPr>
        <w:t>Figure 17 — LSTM Forecast vs Actual (California Daily New Cases, Test Period)</w:t>
      </w:r>
    </w:p>
    <w:p w14:paraId="02EF0C8B" w14:textId="77777777" w:rsidR="00645A15" w:rsidRDefault="00645A15">
      <w:pPr>
        <w:spacing w:before="60"/>
      </w:pPr>
    </w:p>
    <w:p w14:paraId="27C0D8BC" w14:textId="77777777" w:rsidR="00645A15" w:rsidRDefault="002068AE">
      <w:pPr>
        <w:spacing w:before="80" w:after="80"/>
        <w:jc w:val="center"/>
      </w:pPr>
      <w:r>
        <w:rPr>
          <w:noProof/>
        </w:rPr>
        <w:drawing>
          <wp:inline distT="0" distB="0" distL="0" distR="0" wp14:anchorId="3A213BF4" wp14:editId="2805E5B2">
            <wp:extent cx="6219825" cy="3200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219825" cy="3200400"/>
                    </a:xfrm>
                    <a:prstGeom prst="rect">
                      <a:avLst/>
                    </a:prstGeom>
                  </pic:spPr>
                </pic:pic>
              </a:graphicData>
            </a:graphic>
          </wp:inline>
        </w:drawing>
      </w:r>
    </w:p>
    <w:p w14:paraId="2C476C88" w14:textId="77777777" w:rsidR="00645A15" w:rsidRDefault="002068AE">
      <w:pPr>
        <w:spacing w:before="40" w:after="120"/>
        <w:jc w:val="center"/>
      </w:pPr>
      <w:r>
        <w:rPr>
          <w:i/>
          <w:iCs/>
          <w:color w:val="666666"/>
          <w:sz w:val="18"/>
          <w:szCs w:val="18"/>
        </w:rPr>
        <w:t>Figure 18 — LSTM 30-Day Future Forecast Beyond Dataset End</w:t>
      </w:r>
    </w:p>
    <w:p w14:paraId="4B1B6BC8" w14:textId="77777777" w:rsidR="00645A15" w:rsidRDefault="00645A15">
      <w:pPr>
        <w:spacing w:before="80"/>
      </w:pPr>
    </w:p>
    <w:p w14:paraId="7602B158" w14:textId="2A2F6455" w:rsidR="00645A15" w:rsidRPr="002C64D0" w:rsidRDefault="002068AE" w:rsidP="002C64D0">
      <w:pPr>
        <w:spacing w:before="60" w:after="60"/>
        <w:jc w:val="both"/>
        <w:rPr>
          <w:color w:val="FF0000"/>
        </w:rPr>
      </w:pPr>
      <w:r>
        <w:t xml:space="preserve">The LSTM achieved lower MAE (6,009 vs 9,959) and RMSE (8,133 vs 11,204) than ARIMA, indicating superior short-term accuracy. The LSTM's ability to learn from 30-day sequences allows it to capture lagged wave patterns that ARIMA's simple AR/MA structure cannot represent. </w:t>
      </w:r>
      <w:r w:rsidRPr="002C64D0">
        <w:rPr>
          <w:color w:val="FF0000"/>
        </w:rPr>
        <w:t xml:space="preserve">However, the LSTM is a </w:t>
      </w:r>
      <w:r w:rsidR="000F4918">
        <w:rPr>
          <w:color w:val="FF0000"/>
        </w:rPr>
        <w:t>complex model</w:t>
      </w:r>
      <w:r w:rsidRPr="002C64D0">
        <w:rPr>
          <w:color w:val="FF0000"/>
        </w:rPr>
        <w:t>— its outputs are harder to interpret and communicate to non-technical stakeholders.</w:t>
      </w:r>
    </w:p>
    <w:p w14:paraId="605A6711" w14:textId="77777777" w:rsidR="00645A15" w:rsidRPr="002C64D0" w:rsidRDefault="00645A15">
      <w:pPr>
        <w:spacing w:before="80"/>
        <w:rPr>
          <w:color w:val="FF0000"/>
        </w:rPr>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45A15" w14:paraId="5721ED35"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0730D8D0" w14:textId="77777777" w:rsidR="00645A15" w:rsidRDefault="002068AE">
            <w:r>
              <w:rPr>
                <w:b/>
                <w:bCs/>
                <w:color w:val="FFFFFF"/>
                <w:sz w:val="20"/>
                <w:szCs w:val="20"/>
              </w:rPr>
              <w:lastRenderedPageBreak/>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77FA4AAC" w14:textId="77777777" w:rsidR="00645A15" w:rsidRDefault="002068AE">
            <w:r>
              <w:rPr>
                <w:b/>
                <w:bCs/>
                <w:color w:val="FFFFFF"/>
                <w:sz w:val="20"/>
                <w:szCs w:val="20"/>
              </w:rPr>
              <w:t>ARIMA</w:t>
            </w:r>
            <w:r w:rsidR="002C64D0">
              <w:rPr>
                <w:b/>
                <w:bCs/>
                <w:color w:val="FFFFFF"/>
                <w:sz w:val="20"/>
                <w:szCs w:val="20"/>
                <w:lang w:val="en-US"/>
              </w:rPr>
              <w:t xml:space="preserve"> </w:t>
            </w:r>
            <w:r>
              <w:rPr>
                <w:b/>
                <w:bCs/>
                <w:color w:val="FFFFFF"/>
                <w:sz w:val="20"/>
                <w:szCs w:val="20"/>
              </w:rPr>
              <w:t>(2,0,1)</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580FA1A4" w14:textId="77777777" w:rsidR="00645A15" w:rsidRDefault="002068AE">
            <w:r>
              <w:rPr>
                <w:b/>
                <w:bCs/>
                <w:color w:val="FFFFFF"/>
                <w:sz w:val="20"/>
                <w:szCs w:val="20"/>
              </w:rPr>
              <w:t>LSTM</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6AB905D7" w14:textId="77777777" w:rsidR="00645A15" w:rsidRDefault="002068AE">
            <w:r>
              <w:rPr>
                <w:b/>
                <w:bCs/>
                <w:color w:val="FFFFFF"/>
                <w:sz w:val="20"/>
                <w:szCs w:val="20"/>
              </w:rPr>
              <w:t>Notes</w:t>
            </w:r>
          </w:p>
        </w:tc>
      </w:tr>
      <w:tr w:rsidR="00645A15" w14:paraId="5B9A953A"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40" w:type="dxa"/>
              <w:bottom w:w="70" w:type="dxa"/>
              <w:right w:w="140" w:type="dxa"/>
            </w:tcMar>
          </w:tcPr>
          <w:p w14:paraId="4B95FDDE" w14:textId="77777777" w:rsidR="00645A15" w:rsidRDefault="002068AE">
            <w:r>
              <w:rPr>
                <w:sz w:val="20"/>
                <w:szCs w:val="20"/>
              </w:rPr>
              <w:t>MAE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40" w:type="dxa"/>
              <w:bottom w:w="70" w:type="dxa"/>
              <w:right w:w="140" w:type="dxa"/>
            </w:tcMar>
          </w:tcPr>
          <w:p w14:paraId="543911E7" w14:textId="77777777" w:rsidR="00645A15" w:rsidRDefault="002068AE">
            <w:r>
              <w:rPr>
                <w:sz w:val="20"/>
                <w:szCs w:val="20"/>
              </w:rPr>
              <w:t>9,959</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40" w:type="dxa"/>
              <w:bottom w:w="70" w:type="dxa"/>
              <w:right w:w="140" w:type="dxa"/>
            </w:tcMar>
          </w:tcPr>
          <w:p w14:paraId="2C70A61B" w14:textId="77777777" w:rsidR="00645A15" w:rsidRDefault="002068AE">
            <w:r>
              <w:rPr>
                <w:sz w:val="20"/>
                <w:szCs w:val="20"/>
              </w:rPr>
              <w:t>6,009</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40" w:type="dxa"/>
              <w:bottom w:w="70" w:type="dxa"/>
              <w:right w:w="140" w:type="dxa"/>
            </w:tcMar>
          </w:tcPr>
          <w:p w14:paraId="78A135D1" w14:textId="77777777" w:rsidR="00645A15" w:rsidRDefault="002068AE">
            <w:r>
              <w:rPr>
                <w:sz w:val="20"/>
                <w:szCs w:val="20"/>
              </w:rPr>
              <w:t>LSTM better by 40%</w:t>
            </w:r>
          </w:p>
        </w:tc>
      </w:tr>
      <w:tr w:rsidR="00645A15" w14:paraId="02C08F4F"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545BA71D" w14:textId="77777777" w:rsidR="00645A15" w:rsidRDefault="002068AE">
            <w:r>
              <w:rPr>
                <w:sz w:val="20"/>
                <w:szCs w:val="20"/>
              </w:rPr>
              <w:t>RMSE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5B26E398" w14:textId="77777777" w:rsidR="00645A15" w:rsidRDefault="002068AE">
            <w:r>
              <w:rPr>
                <w:sz w:val="20"/>
                <w:szCs w:val="20"/>
              </w:rPr>
              <w:t>11,204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7DF612CF" w14:textId="77777777" w:rsidR="00645A15" w:rsidRDefault="002068AE">
            <w:r>
              <w:rPr>
                <w:sz w:val="20"/>
                <w:szCs w:val="20"/>
              </w:rPr>
              <w:t>8,133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643C922C" w14:textId="77777777" w:rsidR="00645A15" w:rsidRDefault="002068AE">
            <w:r>
              <w:rPr>
                <w:sz w:val="20"/>
                <w:szCs w:val="20"/>
              </w:rPr>
              <w:t>LSTM better by 27%</w:t>
            </w:r>
          </w:p>
        </w:tc>
      </w:tr>
      <w:tr w:rsidR="00645A15" w14:paraId="47347B74"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40" w:type="dxa"/>
              <w:bottom w:w="70" w:type="dxa"/>
              <w:right w:w="140" w:type="dxa"/>
            </w:tcMar>
          </w:tcPr>
          <w:p w14:paraId="30467DB3" w14:textId="77777777" w:rsidR="00645A15" w:rsidRDefault="002068AE">
            <w:r>
              <w:rPr>
                <w:sz w:val="20"/>
                <w:szCs w:val="20"/>
              </w:rPr>
              <w:t>Interpretability</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40" w:type="dxa"/>
              <w:bottom w:w="70" w:type="dxa"/>
              <w:right w:w="140" w:type="dxa"/>
            </w:tcMar>
          </w:tcPr>
          <w:p w14:paraId="1B51181E" w14:textId="77777777" w:rsidR="00645A15" w:rsidRDefault="002068AE">
            <w:r>
              <w:rPr>
                <w:sz w:val="20"/>
                <w:szCs w:val="20"/>
              </w:rPr>
              <w:t>High</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40" w:type="dxa"/>
              <w:bottom w:w="70" w:type="dxa"/>
              <w:right w:w="140" w:type="dxa"/>
            </w:tcMar>
          </w:tcPr>
          <w:p w14:paraId="11170A72" w14:textId="77777777" w:rsidR="00645A15" w:rsidRDefault="002068AE">
            <w:r>
              <w:rPr>
                <w:sz w:val="20"/>
                <w:szCs w:val="20"/>
              </w:rPr>
              <w:t>Low</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40" w:type="dxa"/>
              <w:bottom w:w="70" w:type="dxa"/>
              <w:right w:w="140" w:type="dxa"/>
            </w:tcMar>
          </w:tcPr>
          <w:p w14:paraId="3BF87F32" w14:textId="77777777" w:rsidR="00645A15" w:rsidRDefault="002068AE">
            <w:r>
              <w:rPr>
                <w:sz w:val="20"/>
                <w:szCs w:val="20"/>
              </w:rPr>
              <w:t>ARIMA preferred for policy</w:t>
            </w:r>
          </w:p>
        </w:tc>
      </w:tr>
      <w:tr w:rsidR="00645A15" w14:paraId="615A225E"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370E642" w14:textId="77777777" w:rsidR="00645A15" w:rsidRDefault="002068AE">
            <w:r>
              <w:rPr>
                <w:sz w:val="20"/>
                <w:szCs w:val="20"/>
              </w:rPr>
              <w:t>Training Speed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5D3E5900" w14:textId="77777777" w:rsidR="00645A15" w:rsidRDefault="002068AE">
            <w:r>
              <w:rPr>
                <w:sz w:val="20"/>
                <w:szCs w:val="20"/>
              </w:rPr>
              <w:t>Seconds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3BE94BD6" w14:textId="77777777" w:rsidR="00645A15" w:rsidRDefault="002068AE">
            <w:r>
              <w:rPr>
                <w:sz w:val="20"/>
                <w:szCs w:val="20"/>
              </w:rPr>
              <w:t>Minutes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000F2DBC" w14:textId="77777777" w:rsidR="00645A15" w:rsidRDefault="002068AE">
            <w:r>
              <w:rPr>
                <w:sz w:val="20"/>
                <w:szCs w:val="20"/>
              </w:rPr>
              <w:t>ARIMA faster</w:t>
            </w:r>
          </w:p>
        </w:tc>
      </w:tr>
      <w:tr w:rsidR="00645A15" w14:paraId="64F8CC56"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40" w:type="dxa"/>
              <w:bottom w:w="70" w:type="dxa"/>
              <w:right w:w="140" w:type="dxa"/>
            </w:tcMar>
          </w:tcPr>
          <w:p w14:paraId="59E55C45" w14:textId="77777777" w:rsidR="00645A15" w:rsidRDefault="002068AE">
            <w:r>
              <w:rPr>
                <w:sz w:val="20"/>
                <w:szCs w:val="20"/>
              </w:rPr>
              <w:t>Handles non-linearity</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40" w:type="dxa"/>
              <w:bottom w:w="70" w:type="dxa"/>
              <w:right w:w="140" w:type="dxa"/>
            </w:tcMar>
          </w:tcPr>
          <w:p w14:paraId="4F11AEAA" w14:textId="77777777" w:rsidR="00645A15" w:rsidRDefault="002068AE">
            <w:r>
              <w:rPr>
                <w:sz w:val="20"/>
                <w:szCs w:val="20"/>
              </w:rPr>
              <w:t>No</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40" w:type="dxa"/>
              <w:bottom w:w="70" w:type="dxa"/>
              <w:right w:w="140" w:type="dxa"/>
            </w:tcMar>
          </w:tcPr>
          <w:p w14:paraId="7466834D" w14:textId="77777777" w:rsidR="00645A15" w:rsidRDefault="002068AE">
            <w:r>
              <w:rPr>
                <w:sz w:val="20"/>
                <w:szCs w:val="20"/>
              </w:rPr>
              <w:t>Yes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40" w:type="dxa"/>
              <w:bottom w:w="70" w:type="dxa"/>
              <w:right w:w="140" w:type="dxa"/>
            </w:tcMar>
          </w:tcPr>
          <w:p w14:paraId="1BC80F1F" w14:textId="77777777" w:rsidR="00645A15" w:rsidRDefault="002068AE">
            <w:r>
              <w:rPr>
                <w:sz w:val="20"/>
                <w:szCs w:val="20"/>
              </w:rPr>
              <w:t>LSTM advantage</w:t>
            </w:r>
          </w:p>
        </w:tc>
      </w:tr>
      <w:tr w:rsidR="00645A15" w14:paraId="47F7763B"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37C3E24C" w14:textId="77777777" w:rsidR="00645A15" w:rsidRDefault="002068AE">
            <w:r>
              <w:rPr>
                <w:sz w:val="20"/>
                <w:szCs w:val="20"/>
              </w:rPr>
              <w:t>Confidence intervals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70CD5C64" w14:textId="77777777" w:rsidR="00645A15" w:rsidRDefault="002068AE">
            <w:r>
              <w:rPr>
                <w:sz w:val="20"/>
                <w:szCs w:val="20"/>
              </w:rPr>
              <w:t>Yes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15E5FEB" w14:textId="77777777" w:rsidR="00645A15" w:rsidRDefault="002068AE">
            <w:r>
              <w:rPr>
                <w:sz w:val="20"/>
                <w:szCs w:val="20"/>
              </w:rPr>
              <w:t>No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6C9269F3" w14:textId="77777777" w:rsidR="00645A15" w:rsidRDefault="002068AE">
            <w:r>
              <w:rPr>
                <w:sz w:val="20"/>
                <w:szCs w:val="20"/>
              </w:rPr>
              <w:t>ARIMA advantage</w:t>
            </w:r>
          </w:p>
        </w:tc>
      </w:tr>
    </w:tbl>
    <w:p w14:paraId="7B7F7F16" w14:textId="77777777" w:rsidR="00645A15" w:rsidRDefault="002068AE">
      <w:r>
        <w:br w:type="page"/>
      </w:r>
    </w:p>
    <w:p w14:paraId="653B5E09" w14:textId="77777777" w:rsidR="00645A15" w:rsidRDefault="002068AE">
      <w:pPr>
        <w:pStyle w:val="Heading1"/>
      </w:pPr>
      <w:r>
        <w:lastRenderedPageBreak/>
        <w:t>6. Insight Generation</w:t>
      </w:r>
    </w:p>
    <w:p w14:paraId="3193609A" w14:textId="77777777" w:rsidR="00645A15" w:rsidRDefault="002068AE">
      <w:pPr>
        <w:pStyle w:val="Heading2"/>
        <w:pBdr>
          <w:bottom w:val="single" w:sz="4" w:space="4" w:color="2E75B6"/>
        </w:pBdr>
      </w:pPr>
      <w:r>
        <w:t>6.1 Forecasted Case Trajectories per State</w:t>
      </w:r>
    </w:p>
    <w:p w14:paraId="7DEDCBE8" w14:textId="45E54D42" w:rsidR="00645A15" w:rsidRDefault="00E12147" w:rsidP="00E12147">
      <w:pPr>
        <w:spacing w:before="60" w:after="60"/>
        <w:jc w:val="both"/>
      </w:pPr>
      <w:r>
        <w:rPr>
          <w:noProof/>
        </w:rPr>
        <w:drawing>
          <wp:anchor distT="0" distB="0" distL="114300" distR="114300" simplePos="0" relativeHeight="251659264" behindDoc="1" locked="0" layoutInCell="1" allowOverlap="1" wp14:anchorId="0549A047" wp14:editId="749689A0">
            <wp:simplePos x="0" y="0"/>
            <wp:positionH relativeFrom="column">
              <wp:posOffset>-9525</wp:posOffset>
            </wp:positionH>
            <wp:positionV relativeFrom="page">
              <wp:posOffset>2019300</wp:posOffset>
            </wp:positionV>
            <wp:extent cx="6400800" cy="3188335"/>
            <wp:effectExtent l="0" t="0" r="0" b="0"/>
            <wp:wrapTight wrapText="bothSides">
              <wp:wrapPolygon edited="0">
                <wp:start x="0" y="0"/>
                <wp:lineTo x="0" y="21424"/>
                <wp:lineTo x="21536" y="21424"/>
                <wp:lineTo x="21536" y="0"/>
                <wp:lineTo x="0" y="0"/>
              </wp:wrapPolygon>
            </wp:wrapTight>
            <wp:docPr id="21" name="Picture 21" descr="C:\Users\User\AppData\Local\Microsoft\Windows\INetCache\Content.MSO\95DC3FF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Microsoft\Windows\INetCache\Content.MSO\95DC3FFA.tmp"/>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00800" cy="3188335"/>
                    </a:xfrm>
                    <a:prstGeom prst="rect">
                      <a:avLst/>
                    </a:prstGeom>
                    <a:noFill/>
                    <a:ln>
                      <a:noFill/>
                    </a:ln>
                  </pic:spPr>
                </pic:pic>
              </a:graphicData>
            </a:graphic>
          </wp:anchor>
        </w:drawing>
      </w:r>
      <w:r w:rsidR="002C64D0">
        <w:t>ARIMA (</w:t>
      </w:r>
      <w:r w:rsidR="002068AE">
        <w:t xml:space="preserve">2,0,1) was applied to each of the five focus states, trained on the full available series, and used to forecast </w:t>
      </w:r>
      <w:r w:rsidR="000F4918">
        <w:t>3</w:t>
      </w:r>
      <w:r w:rsidR="002068AE">
        <w:t xml:space="preserve">0 days beyond the dataset </w:t>
      </w:r>
      <w:proofErr w:type="gramStart"/>
      <w:r w:rsidR="002068AE">
        <w:t>end .</w:t>
      </w:r>
      <w:proofErr w:type="gramEnd"/>
      <w:r w:rsidR="002068AE">
        <w:t xml:space="preserve"> The table below summarises predicted trajectories:</w:t>
      </w:r>
    </w:p>
    <w:p w14:paraId="26B48CED" w14:textId="77777777" w:rsidR="00E12147" w:rsidRDefault="00E12147" w:rsidP="00E12147">
      <w:pPr>
        <w:spacing w:before="60" w:after="60"/>
        <w:jc w:val="both"/>
        <w:rPr>
          <w:i/>
          <w:iCs/>
          <w:color w:val="666666"/>
          <w:sz w:val="18"/>
          <w:szCs w:val="18"/>
        </w:rPr>
      </w:pPr>
    </w:p>
    <w:p w14:paraId="778F2D7F" w14:textId="77777777" w:rsidR="00E12147" w:rsidRDefault="00E12147" w:rsidP="00E12147">
      <w:pPr>
        <w:spacing w:before="60" w:after="60"/>
        <w:jc w:val="both"/>
        <w:rPr>
          <w:i/>
          <w:iCs/>
          <w:color w:val="666666"/>
          <w:sz w:val="18"/>
          <w:szCs w:val="18"/>
        </w:rPr>
      </w:pPr>
      <w:r>
        <w:rPr>
          <w:i/>
          <w:iCs/>
          <w:color w:val="666666"/>
          <w:sz w:val="18"/>
          <w:szCs w:val="18"/>
        </w:rPr>
        <w:t>Figure 19 — 30-Day ARIMA Forecast — Daily New Cases per State (Solid = actual | Dashed = predicted</w:t>
      </w:r>
    </w:p>
    <w:p w14:paraId="4AD15354" w14:textId="77777777" w:rsidR="00E12147" w:rsidRDefault="00E12147" w:rsidP="00E12147">
      <w:pPr>
        <w:spacing w:before="60" w:after="60"/>
        <w:jc w:val="both"/>
      </w:pPr>
    </w:p>
    <w:p w14:paraId="5B769076" w14:textId="77777777" w:rsidR="00E12147" w:rsidRDefault="00E12147" w:rsidP="00E12147">
      <w:pPr>
        <w:spacing w:before="60" w:after="60"/>
        <w:jc w:val="both"/>
      </w:pPr>
      <w:r>
        <w:rPr>
          <w:noProof/>
        </w:rPr>
        <w:drawing>
          <wp:inline distT="0" distB="0" distL="0" distR="0" wp14:anchorId="4E2AA40E" wp14:editId="54E47A56">
            <wp:extent cx="6400800" cy="3188359"/>
            <wp:effectExtent l="0" t="0" r="0" b="0"/>
            <wp:docPr id="22" name="Picture 22" descr="C:\Users\User\AppData\Local\Microsoft\Windows\INetCache\Content.MSO\8A2D7A1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AppData\Local\Microsoft\Windows\INetCache\Content.MSO\8A2D7A18.tmp"/>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00800" cy="3188359"/>
                    </a:xfrm>
                    <a:prstGeom prst="rect">
                      <a:avLst/>
                    </a:prstGeom>
                    <a:noFill/>
                    <a:ln>
                      <a:noFill/>
                    </a:ln>
                  </pic:spPr>
                </pic:pic>
              </a:graphicData>
            </a:graphic>
          </wp:inline>
        </w:drawing>
      </w:r>
    </w:p>
    <w:p w14:paraId="6E90DBA0" w14:textId="77777777" w:rsidR="00E12147" w:rsidRDefault="00E12147" w:rsidP="00E12147">
      <w:pPr>
        <w:spacing w:before="40" w:after="120"/>
        <w:jc w:val="center"/>
      </w:pPr>
      <w:r>
        <w:rPr>
          <w:i/>
          <w:iCs/>
          <w:color w:val="666666"/>
          <w:sz w:val="18"/>
          <w:szCs w:val="18"/>
        </w:rPr>
        <w:t>Figure 20 — 30-Day ARIMA Forecast — Daily New Deaths per State (Solid = actual | Dashed = predicted)</w:t>
      </w:r>
    </w:p>
    <w:p w14:paraId="46468462" w14:textId="77777777" w:rsidR="00E12147" w:rsidRDefault="00E12147" w:rsidP="00E12147">
      <w:pPr>
        <w:spacing w:before="60" w:after="60"/>
        <w:jc w:val="both"/>
      </w:pPr>
    </w:p>
    <w:p w14:paraId="1A5175CD" w14:textId="77777777" w:rsidR="00645A15" w:rsidRDefault="00645A15">
      <w:pPr>
        <w:spacing w:before="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45A15" w14:paraId="2DFB6A2A"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4220F6EA" w14:textId="77777777" w:rsidR="00645A15" w:rsidRDefault="002068AE">
            <w:r>
              <w:rPr>
                <w:b/>
                <w:bCs/>
                <w:color w:val="FFFFFF"/>
                <w:sz w:val="20"/>
                <w:szCs w:val="20"/>
              </w:rPr>
              <w:t>State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05AD46C1" w14:textId="77777777" w:rsidR="00645A15" w:rsidRDefault="002068AE">
            <w:r>
              <w:rPr>
                <w:b/>
                <w:bCs/>
                <w:color w:val="FFFFFF"/>
                <w:sz w:val="20"/>
                <w:szCs w:val="20"/>
              </w:rPr>
              <w:t>End-of-Dataset Trend</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63800220" w14:textId="77777777" w:rsidR="00645A15" w:rsidRDefault="002068AE">
            <w:r>
              <w:rPr>
                <w:b/>
                <w:bCs/>
                <w:color w:val="FFFFFF"/>
                <w:sz w:val="20"/>
                <w:szCs w:val="20"/>
              </w:rPr>
              <w:t>ARIMA 60-Day Forecast</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40DE5F50" w14:textId="77777777" w:rsidR="00645A15" w:rsidRDefault="002068AE">
            <w:r>
              <w:rPr>
                <w:b/>
                <w:bCs/>
                <w:color w:val="FFFFFF"/>
                <w:sz w:val="20"/>
                <w:szCs w:val="20"/>
              </w:rPr>
              <w:t>Signal</w:t>
            </w:r>
          </w:p>
        </w:tc>
      </w:tr>
      <w:tr w:rsidR="00645A15" w14:paraId="25C48A8F"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40" w:type="dxa"/>
              <w:bottom w:w="70" w:type="dxa"/>
              <w:right w:w="140" w:type="dxa"/>
            </w:tcMar>
          </w:tcPr>
          <w:p w14:paraId="21248887" w14:textId="77777777" w:rsidR="00645A15" w:rsidRDefault="002068AE">
            <w:r>
              <w:rPr>
                <w:sz w:val="20"/>
                <w:szCs w:val="20"/>
              </w:rPr>
              <w:t>California</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40" w:type="dxa"/>
              <w:bottom w:w="70" w:type="dxa"/>
              <w:right w:w="140" w:type="dxa"/>
            </w:tcMar>
          </w:tcPr>
          <w:p w14:paraId="11967086" w14:textId="77777777" w:rsidR="00645A15" w:rsidRDefault="002068AE">
            <w:r>
              <w:rPr>
                <w:sz w:val="20"/>
                <w:szCs w:val="20"/>
              </w:rPr>
              <w:t>Late-pandemic decline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40" w:type="dxa"/>
              <w:bottom w:w="70" w:type="dxa"/>
              <w:right w:w="140" w:type="dxa"/>
            </w:tcMar>
          </w:tcPr>
          <w:p w14:paraId="5367711C" w14:textId="77777777" w:rsidR="00645A15" w:rsidRDefault="002068AE">
            <w:r>
              <w:rPr>
                <w:sz w:val="20"/>
                <w:szCs w:val="20"/>
              </w:rPr>
              <w:t>Continued gradual decrease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40" w:type="dxa"/>
              <w:bottom w:w="70" w:type="dxa"/>
              <w:right w:w="140" w:type="dxa"/>
            </w:tcMar>
          </w:tcPr>
          <w:p w14:paraId="426B345C" w14:textId="77777777" w:rsidR="00645A15" w:rsidRDefault="002068AE">
            <w:r>
              <w:rPr>
                <w:sz w:val="20"/>
                <w:szCs w:val="20"/>
              </w:rPr>
              <w:t>STABLE DECLINING</w:t>
            </w:r>
          </w:p>
        </w:tc>
      </w:tr>
      <w:tr w:rsidR="00645A15" w14:paraId="0DD3A9FE"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00046153" w14:textId="77777777" w:rsidR="00645A15" w:rsidRDefault="002068AE">
            <w:r>
              <w:rPr>
                <w:sz w:val="20"/>
                <w:szCs w:val="20"/>
              </w:rPr>
              <w:t>Texas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3166AAB" w14:textId="77777777" w:rsidR="00645A15" w:rsidRDefault="002068AE">
            <w:r>
              <w:rPr>
                <w:sz w:val="20"/>
                <w:szCs w:val="20"/>
              </w:rPr>
              <w:t>Late-pandemic decline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E0700D5" w14:textId="77777777" w:rsidR="00645A15" w:rsidRDefault="002068AE">
            <w:r>
              <w:rPr>
                <w:sz w:val="20"/>
                <w:szCs w:val="20"/>
              </w:rPr>
              <w:t>Continued gradual decrease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7DB7C37E" w14:textId="77777777" w:rsidR="00645A15" w:rsidRDefault="002068AE">
            <w:r>
              <w:rPr>
                <w:sz w:val="20"/>
                <w:szCs w:val="20"/>
              </w:rPr>
              <w:t>STABLE DECLINING</w:t>
            </w:r>
          </w:p>
        </w:tc>
      </w:tr>
      <w:tr w:rsidR="00645A15" w14:paraId="50DE5E88"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40" w:type="dxa"/>
              <w:bottom w:w="70" w:type="dxa"/>
              <w:right w:w="140" w:type="dxa"/>
            </w:tcMar>
          </w:tcPr>
          <w:p w14:paraId="0C2D3A70" w14:textId="77777777" w:rsidR="00645A15" w:rsidRDefault="002068AE">
            <w:r>
              <w:rPr>
                <w:sz w:val="20"/>
                <w:szCs w:val="20"/>
              </w:rPr>
              <w:t>Florida</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40" w:type="dxa"/>
              <w:bottom w:w="70" w:type="dxa"/>
              <w:right w:w="140" w:type="dxa"/>
            </w:tcMar>
          </w:tcPr>
          <w:p w14:paraId="3E2780E7" w14:textId="77777777" w:rsidR="00645A15" w:rsidRDefault="002068AE">
            <w:r>
              <w:rPr>
                <w:sz w:val="20"/>
                <w:szCs w:val="20"/>
              </w:rPr>
              <w:t>Late-pandemic decline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40" w:type="dxa"/>
              <w:bottom w:w="70" w:type="dxa"/>
              <w:right w:w="140" w:type="dxa"/>
            </w:tcMar>
          </w:tcPr>
          <w:p w14:paraId="0C88E9D3" w14:textId="77777777" w:rsidR="00645A15" w:rsidRDefault="002068AE">
            <w:r>
              <w:rPr>
                <w:sz w:val="20"/>
                <w:szCs w:val="20"/>
              </w:rPr>
              <w:t>Flat with slight decline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40" w:type="dxa"/>
              <w:bottom w:w="70" w:type="dxa"/>
              <w:right w:w="140" w:type="dxa"/>
            </w:tcMar>
          </w:tcPr>
          <w:p w14:paraId="7B7EF733" w14:textId="77777777" w:rsidR="00645A15" w:rsidRDefault="002068AE">
            <w:r>
              <w:rPr>
                <w:sz w:val="20"/>
                <w:szCs w:val="20"/>
              </w:rPr>
              <w:t>STABLE</w:t>
            </w:r>
          </w:p>
        </w:tc>
      </w:tr>
      <w:tr w:rsidR="00645A15" w14:paraId="726B65C5"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7DDD5CBF" w14:textId="77777777" w:rsidR="00645A15" w:rsidRDefault="002068AE">
            <w:r>
              <w:rPr>
                <w:sz w:val="20"/>
                <w:szCs w:val="20"/>
              </w:rPr>
              <w:t>New York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303C0752" w14:textId="77777777" w:rsidR="00645A15" w:rsidRDefault="002068AE">
            <w:r>
              <w:rPr>
                <w:sz w:val="20"/>
                <w:szCs w:val="20"/>
              </w:rPr>
              <w:t>Late-pandemic decline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09F1990D" w14:textId="77777777" w:rsidR="00645A15" w:rsidRDefault="002068AE">
            <w:r>
              <w:rPr>
                <w:sz w:val="20"/>
                <w:szCs w:val="20"/>
              </w:rPr>
              <w:t>Continued gradual decrease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4894D69" w14:textId="77777777" w:rsidR="00645A15" w:rsidRDefault="003916EF">
            <w:r>
              <w:rPr>
                <w:sz w:val="20"/>
                <w:szCs w:val="20"/>
              </w:rPr>
              <w:t xml:space="preserve">STABLE </w:t>
            </w:r>
            <w:r>
              <w:rPr>
                <w:sz w:val="20"/>
                <w:szCs w:val="20"/>
                <w:lang w:val="en-US"/>
              </w:rPr>
              <w:t>DECLINING</w:t>
            </w:r>
          </w:p>
        </w:tc>
      </w:tr>
      <w:tr w:rsidR="00645A15" w14:paraId="6784A5C2"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40" w:type="dxa"/>
              <w:bottom w:w="70" w:type="dxa"/>
              <w:right w:w="140" w:type="dxa"/>
            </w:tcMar>
          </w:tcPr>
          <w:p w14:paraId="1D2C325A" w14:textId="77777777" w:rsidR="00645A15" w:rsidRDefault="002068AE">
            <w:r>
              <w:rPr>
                <w:sz w:val="20"/>
                <w:szCs w:val="20"/>
              </w:rPr>
              <w:t>Illinois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40" w:type="dxa"/>
              <w:bottom w:w="70" w:type="dxa"/>
              <w:right w:w="140" w:type="dxa"/>
            </w:tcMar>
          </w:tcPr>
          <w:p w14:paraId="43945CDE" w14:textId="77777777" w:rsidR="00645A15" w:rsidRDefault="002068AE">
            <w:r>
              <w:rPr>
                <w:sz w:val="20"/>
                <w:szCs w:val="20"/>
              </w:rPr>
              <w:t>Late-pandemic decline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40" w:type="dxa"/>
              <w:bottom w:w="70" w:type="dxa"/>
              <w:right w:w="140" w:type="dxa"/>
            </w:tcMar>
          </w:tcPr>
          <w:p w14:paraId="2DBB9700" w14:textId="77777777" w:rsidR="00645A15" w:rsidRDefault="002068AE">
            <w:r>
              <w:rPr>
                <w:sz w:val="20"/>
                <w:szCs w:val="20"/>
              </w:rPr>
              <w:t>Continued gradual decrease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40" w:type="dxa"/>
              <w:bottom w:w="70" w:type="dxa"/>
              <w:right w:w="140" w:type="dxa"/>
            </w:tcMar>
          </w:tcPr>
          <w:p w14:paraId="109CB97D" w14:textId="77777777" w:rsidR="00645A15" w:rsidRDefault="002068AE">
            <w:r>
              <w:rPr>
                <w:sz w:val="20"/>
                <w:szCs w:val="20"/>
              </w:rPr>
              <w:t>DECLINING</w:t>
            </w:r>
          </w:p>
        </w:tc>
      </w:tr>
    </w:tbl>
    <w:p w14:paraId="66D7E9E7" w14:textId="77777777" w:rsidR="00645A15" w:rsidRDefault="00645A15">
      <w:pPr>
        <w:spacing w:before="120"/>
      </w:pPr>
    </w:p>
    <w:p w14:paraId="04352860" w14:textId="77777777" w:rsidR="00645A15" w:rsidRDefault="002068AE">
      <w:pPr>
        <w:spacing w:before="60" w:after="60"/>
      </w:pPr>
      <w:r>
        <w:t>All five states show forecast signals consistent with the late-pandemic wind-down trend visible in the actual data. The wide confidence intervals in the ARIMA forecasts reflect the inherent unpredictability of outbreak resurgences without incorporating external covariate data (vaccination rates, variant surveillance, mobility).</w:t>
      </w:r>
    </w:p>
    <w:p w14:paraId="065A9C1B" w14:textId="77777777" w:rsidR="00645A15" w:rsidRDefault="002068AE">
      <w:pPr>
        <w:pStyle w:val="Heading2"/>
        <w:pBdr>
          <w:bottom w:val="single" w:sz="4" w:space="4" w:color="2E75B6"/>
        </w:pBdr>
      </w:pPr>
      <w:r>
        <w:t>6.2 Identifying Regions with Predicted Rapid Increases</w:t>
      </w:r>
    </w:p>
    <w:p w14:paraId="5D23783F" w14:textId="00C746F0" w:rsidR="003916EF" w:rsidRDefault="003916EF" w:rsidP="003916EF">
      <w:pPr>
        <w:spacing w:before="60" w:after="60"/>
        <w:jc w:val="both"/>
      </w:pPr>
      <w:r w:rsidRPr="003916EF">
        <w:t>To rank states by their predicted future burden, the 30-day forecast values were summed for each state to produce a total projected new-case and new-death count over the forecast window</w:t>
      </w:r>
    </w:p>
    <w:p w14:paraId="34C8EAD2" w14:textId="77777777" w:rsidR="003916EF" w:rsidRDefault="003916EF" w:rsidP="003916EF">
      <w:pPr>
        <w:spacing w:before="60" w:after="60"/>
        <w:jc w:val="both"/>
      </w:pPr>
    </w:p>
    <w:p w14:paraId="1AE53D47" w14:textId="77777777" w:rsidR="003916EF" w:rsidRDefault="003916EF" w:rsidP="003916EF">
      <w:pPr>
        <w:spacing w:before="60" w:after="60"/>
        <w:jc w:val="both"/>
      </w:pPr>
      <w:r>
        <w:rPr>
          <w:noProof/>
        </w:rPr>
        <w:drawing>
          <wp:inline distT="0" distB="0" distL="0" distR="0" wp14:anchorId="5C36197F" wp14:editId="227CF854">
            <wp:extent cx="6400800" cy="2789846"/>
            <wp:effectExtent l="0" t="0" r="0" b="0"/>
            <wp:docPr id="23" name="Picture 23" descr="C:\Users\User\AppData\Local\Microsoft\Windows\INetCache\Content.MSO\A0E09CE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AppData\Local\Microsoft\Windows\INetCache\Content.MSO\A0E09CE4.tmp"/>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00800" cy="2789846"/>
                    </a:xfrm>
                    <a:prstGeom prst="rect">
                      <a:avLst/>
                    </a:prstGeom>
                    <a:noFill/>
                    <a:ln>
                      <a:noFill/>
                    </a:ln>
                  </pic:spPr>
                </pic:pic>
              </a:graphicData>
            </a:graphic>
          </wp:inline>
        </w:drawing>
      </w:r>
    </w:p>
    <w:p w14:paraId="676C8F1A" w14:textId="15B5F184" w:rsidR="003916EF" w:rsidRDefault="003916EF" w:rsidP="003916EF">
      <w:pPr>
        <w:spacing w:before="40" w:after="120"/>
        <w:jc w:val="center"/>
      </w:pPr>
      <w:r>
        <w:rPr>
          <w:i/>
          <w:iCs/>
          <w:color w:val="666666"/>
          <w:sz w:val="18"/>
          <w:szCs w:val="18"/>
        </w:rPr>
        <w:t xml:space="preserve">Figure 21 — Predicted 30-Day Case and Death Burden per State </w:t>
      </w:r>
    </w:p>
    <w:p w14:paraId="4ABACF22" w14:textId="77777777" w:rsidR="003916EF" w:rsidRDefault="003916EF">
      <w:pPr>
        <w:spacing w:before="60" w:after="60"/>
      </w:pPr>
    </w:p>
    <w:p w14:paraId="7BA91A66" w14:textId="77777777" w:rsidR="00645A15" w:rsidRDefault="002068AE">
      <w:pPr>
        <w:spacing w:before="60" w:after="60"/>
      </w:pPr>
      <w:r>
        <w:t xml:space="preserve">None of the five modelled states showed a predicted rapid increase in the </w:t>
      </w:r>
      <w:r w:rsidR="00766D2B">
        <w:rPr>
          <w:lang w:val="en-US"/>
        </w:rPr>
        <w:t>3</w:t>
      </w:r>
      <w:r>
        <w:t>0-day forecast window. This is consistent with the observed data: by early 2023, all five states had passed their Omicron peak and were in a sustained low-level plateau.</w:t>
      </w:r>
    </w:p>
    <w:p w14:paraId="2166AD19" w14:textId="77777777" w:rsidR="00645A15" w:rsidRDefault="00645A15">
      <w:pPr>
        <w:spacing w:before="80"/>
      </w:pPr>
    </w:p>
    <w:p w14:paraId="7B0B5D3D" w14:textId="77777777" w:rsidR="00766D2B" w:rsidRDefault="00766D2B">
      <w:pPr>
        <w:spacing w:before="60" w:after="60"/>
      </w:pPr>
    </w:p>
    <w:p w14:paraId="74EAC187" w14:textId="77777777" w:rsidR="00E275DD" w:rsidRDefault="00E275DD" w:rsidP="00766D2B">
      <w:pPr>
        <w:spacing w:before="60" w:after="60"/>
        <w:rPr>
          <w:b/>
          <w:bCs/>
          <w:color w:val="333333"/>
        </w:rPr>
      </w:pPr>
    </w:p>
    <w:p w14:paraId="7E04E019" w14:textId="7FFF0188" w:rsidR="00766D2B" w:rsidRDefault="00766D2B" w:rsidP="00766D2B">
      <w:pPr>
        <w:spacing w:before="60" w:after="60"/>
      </w:pPr>
      <w:r>
        <w:rPr>
          <w:b/>
          <w:bCs/>
          <w:color w:val="333333"/>
        </w:rPr>
        <w:lastRenderedPageBreak/>
        <w:t>Peak fatality windows by state:</w:t>
      </w:r>
    </w:p>
    <w:p w14:paraId="1C161180" w14:textId="77777777" w:rsidR="00766D2B" w:rsidRDefault="00766D2B" w:rsidP="00766D2B">
      <w:pPr>
        <w:spacing w:before="80"/>
      </w:pP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800"/>
        <w:gridCol w:w="2600"/>
        <w:gridCol w:w="2560"/>
        <w:gridCol w:w="2400"/>
      </w:tblGrid>
      <w:tr w:rsidR="00766D2B" w14:paraId="668F482B" w14:textId="77777777" w:rsidTr="009D48D1">
        <w:tc>
          <w:tcPr>
            <w:tcW w:w="1800" w:type="dxa"/>
            <w:shd w:val="clear" w:color="auto" w:fill="D5E8F0"/>
            <w:tcMar>
              <w:top w:w="80" w:type="dxa"/>
              <w:left w:w="120" w:type="dxa"/>
              <w:bottom w:w="80" w:type="dxa"/>
              <w:right w:w="120" w:type="dxa"/>
            </w:tcMar>
          </w:tcPr>
          <w:p w14:paraId="15AA1D11" w14:textId="77777777" w:rsidR="00766D2B" w:rsidRDefault="00766D2B" w:rsidP="009D48D1">
            <w:r>
              <w:rPr>
                <w:b/>
                <w:bCs/>
                <w:sz w:val="20"/>
                <w:szCs w:val="20"/>
              </w:rPr>
              <w:t>State</w:t>
            </w:r>
          </w:p>
        </w:tc>
        <w:tc>
          <w:tcPr>
            <w:tcW w:w="2600" w:type="dxa"/>
            <w:shd w:val="clear" w:color="auto" w:fill="D5E8F0"/>
            <w:tcMar>
              <w:top w:w="80" w:type="dxa"/>
              <w:left w:w="120" w:type="dxa"/>
              <w:bottom w:w="80" w:type="dxa"/>
              <w:right w:w="120" w:type="dxa"/>
            </w:tcMar>
          </w:tcPr>
          <w:p w14:paraId="3A29C62E" w14:textId="77777777" w:rsidR="00766D2B" w:rsidRDefault="00766D2B" w:rsidP="009D48D1">
            <w:r>
              <w:rPr>
                <w:b/>
                <w:bCs/>
                <w:sz w:val="20"/>
                <w:szCs w:val="20"/>
              </w:rPr>
              <w:t>Deadliest Historical Period</w:t>
            </w:r>
          </w:p>
        </w:tc>
        <w:tc>
          <w:tcPr>
            <w:tcW w:w="2560" w:type="dxa"/>
            <w:shd w:val="clear" w:color="auto" w:fill="D5E8F0"/>
            <w:tcMar>
              <w:top w:w="80" w:type="dxa"/>
              <w:left w:w="120" w:type="dxa"/>
              <w:bottom w:w="80" w:type="dxa"/>
              <w:right w:w="120" w:type="dxa"/>
            </w:tcMar>
          </w:tcPr>
          <w:p w14:paraId="6FA4A49B" w14:textId="77777777" w:rsidR="00766D2B" w:rsidRDefault="00766D2B" w:rsidP="009D48D1">
            <w:r>
              <w:rPr>
                <w:b/>
                <w:bCs/>
                <w:sz w:val="20"/>
                <w:szCs w:val="20"/>
              </w:rPr>
              <w:t>Peak Daily Deaths (approx.)</w:t>
            </w:r>
          </w:p>
        </w:tc>
        <w:tc>
          <w:tcPr>
            <w:tcW w:w="2400" w:type="dxa"/>
            <w:shd w:val="clear" w:color="auto" w:fill="D5E8F0"/>
            <w:tcMar>
              <w:top w:w="80" w:type="dxa"/>
              <w:left w:w="120" w:type="dxa"/>
              <w:bottom w:w="80" w:type="dxa"/>
              <w:right w:w="120" w:type="dxa"/>
            </w:tcMar>
          </w:tcPr>
          <w:p w14:paraId="1A4BBC9B" w14:textId="1490FBF6" w:rsidR="00766D2B" w:rsidRDefault="00E275DD" w:rsidP="009D48D1">
            <w:r>
              <w:rPr>
                <w:b/>
                <w:bCs/>
                <w:sz w:val="20"/>
                <w:szCs w:val="20"/>
              </w:rPr>
              <w:t>Case Fatality Rate (</w:t>
            </w:r>
            <w:r w:rsidR="00766D2B">
              <w:rPr>
                <w:b/>
                <w:bCs/>
                <w:sz w:val="20"/>
                <w:szCs w:val="20"/>
              </w:rPr>
              <w:t>CFR</w:t>
            </w:r>
            <w:r>
              <w:rPr>
                <w:b/>
                <w:bCs/>
                <w:sz w:val="20"/>
                <w:szCs w:val="20"/>
              </w:rPr>
              <w:t>)</w:t>
            </w:r>
            <w:r w:rsidR="00766D2B">
              <w:rPr>
                <w:b/>
                <w:bCs/>
                <w:sz w:val="20"/>
                <w:szCs w:val="20"/>
              </w:rPr>
              <w:t xml:space="preserve"> at Peak</w:t>
            </w:r>
          </w:p>
        </w:tc>
      </w:tr>
      <w:tr w:rsidR="00766D2B" w14:paraId="1AB43E20" w14:textId="77777777" w:rsidTr="009D48D1">
        <w:tc>
          <w:tcPr>
            <w:tcW w:w="1800" w:type="dxa"/>
            <w:shd w:val="clear" w:color="auto" w:fill="FFFFFF"/>
            <w:tcMar>
              <w:top w:w="80" w:type="dxa"/>
              <w:left w:w="120" w:type="dxa"/>
              <w:bottom w:w="80" w:type="dxa"/>
              <w:right w:w="120" w:type="dxa"/>
            </w:tcMar>
          </w:tcPr>
          <w:p w14:paraId="21D08CDD" w14:textId="77777777" w:rsidR="00766D2B" w:rsidRDefault="00766D2B" w:rsidP="009D48D1">
            <w:r>
              <w:rPr>
                <w:sz w:val="20"/>
                <w:szCs w:val="20"/>
              </w:rPr>
              <w:t>California</w:t>
            </w:r>
          </w:p>
        </w:tc>
        <w:tc>
          <w:tcPr>
            <w:tcW w:w="2600" w:type="dxa"/>
            <w:shd w:val="clear" w:color="auto" w:fill="FFFFFF"/>
            <w:tcMar>
              <w:top w:w="80" w:type="dxa"/>
              <w:left w:w="120" w:type="dxa"/>
              <w:bottom w:w="80" w:type="dxa"/>
              <w:right w:w="120" w:type="dxa"/>
            </w:tcMar>
          </w:tcPr>
          <w:p w14:paraId="58B8BBB2" w14:textId="77777777" w:rsidR="00766D2B" w:rsidRDefault="00766D2B" w:rsidP="009D48D1">
            <w:r>
              <w:rPr>
                <w:sz w:val="20"/>
                <w:szCs w:val="20"/>
              </w:rPr>
              <w:t>Dec 2020 – Jan 2021</w:t>
            </w:r>
          </w:p>
        </w:tc>
        <w:tc>
          <w:tcPr>
            <w:tcW w:w="2560" w:type="dxa"/>
            <w:shd w:val="clear" w:color="auto" w:fill="FFFFFF"/>
            <w:tcMar>
              <w:top w:w="80" w:type="dxa"/>
              <w:left w:w="120" w:type="dxa"/>
              <w:bottom w:w="80" w:type="dxa"/>
              <w:right w:w="120" w:type="dxa"/>
            </w:tcMar>
          </w:tcPr>
          <w:p w14:paraId="42058B75" w14:textId="77777777" w:rsidR="00766D2B" w:rsidRDefault="00766D2B" w:rsidP="009D48D1">
            <w:r>
              <w:rPr>
                <w:sz w:val="20"/>
                <w:szCs w:val="20"/>
              </w:rPr>
              <w:t>~430 per day</w:t>
            </w:r>
          </w:p>
        </w:tc>
        <w:tc>
          <w:tcPr>
            <w:tcW w:w="2400" w:type="dxa"/>
            <w:shd w:val="clear" w:color="auto" w:fill="FFFFFF"/>
            <w:tcMar>
              <w:top w:w="80" w:type="dxa"/>
              <w:left w:w="120" w:type="dxa"/>
              <w:bottom w:w="80" w:type="dxa"/>
              <w:right w:w="120" w:type="dxa"/>
            </w:tcMar>
          </w:tcPr>
          <w:p w14:paraId="69C3E1A4" w14:textId="77777777" w:rsidR="00766D2B" w:rsidRDefault="00766D2B" w:rsidP="009D48D1">
            <w:r>
              <w:rPr>
                <w:sz w:val="20"/>
                <w:szCs w:val="20"/>
              </w:rPr>
              <w:t>1.4%</w:t>
            </w:r>
          </w:p>
        </w:tc>
      </w:tr>
      <w:tr w:rsidR="00766D2B" w14:paraId="46168A9B" w14:textId="77777777" w:rsidTr="009D48D1">
        <w:tc>
          <w:tcPr>
            <w:tcW w:w="1800" w:type="dxa"/>
            <w:shd w:val="clear" w:color="auto" w:fill="FFFFFF"/>
            <w:tcMar>
              <w:top w:w="80" w:type="dxa"/>
              <w:left w:w="120" w:type="dxa"/>
              <w:bottom w:w="80" w:type="dxa"/>
              <w:right w:w="120" w:type="dxa"/>
            </w:tcMar>
          </w:tcPr>
          <w:p w14:paraId="0FC01A89" w14:textId="77777777" w:rsidR="00766D2B" w:rsidRDefault="00766D2B" w:rsidP="009D48D1">
            <w:r>
              <w:rPr>
                <w:sz w:val="20"/>
                <w:szCs w:val="20"/>
              </w:rPr>
              <w:t>Texas</w:t>
            </w:r>
          </w:p>
        </w:tc>
        <w:tc>
          <w:tcPr>
            <w:tcW w:w="2600" w:type="dxa"/>
            <w:shd w:val="clear" w:color="auto" w:fill="FFFFFF"/>
            <w:tcMar>
              <w:top w:w="80" w:type="dxa"/>
              <w:left w:w="120" w:type="dxa"/>
              <w:bottom w:w="80" w:type="dxa"/>
              <w:right w:w="120" w:type="dxa"/>
            </w:tcMar>
          </w:tcPr>
          <w:p w14:paraId="57C6A321" w14:textId="77777777" w:rsidR="00766D2B" w:rsidRDefault="00766D2B" w:rsidP="009D48D1">
            <w:r>
              <w:rPr>
                <w:sz w:val="20"/>
                <w:szCs w:val="20"/>
              </w:rPr>
              <w:t>Jan 2021</w:t>
            </w:r>
          </w:p>
        </w:tc>
        <w:tc>
          <w:tcPr>
            <w:tcW w:w="2560" w:type="dxa"/>
            <w:shd w:val="clear" w:color="auto" w:fill="FFFFFF"/>
            <w:tcMar>
              <w:top w:w="80" w:type="dxa"/>
              <w:left w:w="120" w:type="dxa"/>
              <w:bottom w:w="80" w:type="dxa"/>
              <w:right w:w="120" w:type="dxa"/>
            </w:tcMar>
          </w:tcPr>
          <w:p w14:paraId="7A6D0D04" w14:textId="77777777" w:rsidR="00766D2B" w:rsidRDefault="00766D2B" w:rsidP="009D48D1">
            <w:r>
              <w:rPr>
                <w:sz w:val="20"/>
                <w:szCs w:val="20"/>
              </w:rPr>
              <w:t>~420 per day</w:t>
            </w:r>
          </w:p>
        </w:tc>
        <w:tc>
          <w:tcPr>
            <w:tcW w:w="2400" w:type="dxa"/>
            <w:shd w:val="clear" w:color="auto" w:fill="FFFFFF"/>
            <w:tcMar>
              <w:top w:w="80" w:type="dxa"/>
              <w:left w:w="120" w:type="dxa"/>
              <w:bottom w:w="80" w:type="dxa"/>
              <w:right w:w="120" w:type="dxa"/>
            </w:tcMar>
          </w:tcPr>
          <w:p w14:paraId="44993F19" w14:textId="77777777" w:rsidR="00766D2B" w:rsidRDefault="00766D2B" w:rsidP="009D48D1">
            <w:r>
              <w:rPr>
                <w:sz w:val="20"/>
                <w:szCs w:val="20"/>
              </w:rPr>
              <w:t>1.5%</w:t>
            </w:r>
          </w:p>
        </w:tc>
      </w:tr>
      <w:tr w:rsidR="00766D2B" w14:paraId="57E1383A" w14:textId="77777777" w:rsidTr="009D48D1">
        <w:tc>
          <w:tcPr>
            <w:tcW w:w="1800" w:type="dxa"/>
            <w:shd w:val="clear" w:color="auto" w:fill="FFFFFF"/>
            <w:tcMar>
              <w:top w:w="80" w:type="dxa"/>
              <w:left w:w="120" w:type="dxa"/>
              <w:bottom w:w="80" w:type="dxa"/>
              <w:right w:w="120" w:type="dxa"/>
            </w:tcMar>
          </w:tcPr>
          <w:p w14:paraId="69D0450E" w14:textId="77777777" w:rsidR="00766D2B" w:rsidRDefault="00766D2B" w:rsidP="009D48D1">
            <w:r>
              <w:rPr>
                <w:sz w:val="20"/>
                <w:szCs w:val="20"/>
              </w:rPr>
              <w:t>Florida</w:t>
            </w:r>
          </w:p>
        </w:tc>
        <w:tc>
          <w:tcPr>
            <w:tcW w:w="2600" w:type="dxa"/>
            <w:shd w:val="clear" w:color="auto" w:fill="FFFFFF"/>
            <w:tcMar>
              <w:top w:w="80" w:type="dxa"/>
              <w:left w:w="120" w:type="dxa"/>
              <w:bottom w:w="80" w:type="dxa"/>
              <w:right w:w="120" w:type="dxa"/>
            </w:tcMar>
          </w:tcPr>
          <w:p w14:paraId="75F627BD" w14:textId="77777777" w:rsidR="00766D2B" w:rsidRDefault="00766D2B" w:rsidP="009D48D1">
            <w:r>
              <w:rPr>
                <w:sz w:val="20"/>
                <w:szCs w:val="20"/>
              </w:rPr>
              <w:t>Aug 2021 (Delta surge)</w:t>
            </w:r>
          </w:p>
        </w:tc>
        <w:tc>
          <w:tcPr>
            <w:tcW w:w="2560" w:type="dxa"/>
            <w:shd w:val="clear" w:color="auto" w:fill="FFFFFF"/>
            <w:tcMar>
              <w:top w:w="80" w:type="dxa"/>
              <w:left w:w="120" w:type="dxa"/>
              <w:bottom w:w="80" w:type="dxa"/>
              <w:right w:w="120" w:type="dxa"/>
            </w:tcMar>
          </w:tcPr>
          <w:p w14:paraId="7F5F6EF3" w14:textId="77777777" w:rsidR="00766D2B" w:rsidRDefault="00766D2B" w:rsidP="009D48D1">
            <w:r>
              <w:rPr>
                <w:sz w:val="20"/>
                <w:szCs w:val="20"/>
              </w:rPr>
              <w:t>~380 per day</w:t>
            </w:r>
          </w:p>
        </w:tc>
        <w:tc>
          <w:tcPr>
            <w:tcW w:w="2400" w:type="dxa"/>
            <w:shd w:val="clear" w:color="auto" w:fill="FFFFFF"/>
            <w:tcMar>
              <w:top w:w="80" w:type="dxa"/>
              <w:left w:w="120" w:type="dxa"/>
              <w:bottom w:w="80" w:type="dxa"/>
              <w:right w:w="120" w:type="dxa"/>
            </w:tcMar>
          </w:tcPr>
          <w:p w14:paraId="0B3052B2" w14:textId="77777777" w:rsidR="00766D2B" w:rsidRDefault="00766D2B" w:rsidP="009D48D1">
            <w:r>
              <w:rPr>
                <w:sz w:val="20"/>
                <w:szCs w:val="20"/>
              </w:rPr>
              <w:t>1.6%</w:t>
            </w:r>
          </w:p>
        </w:tc>
      </w:tr>
      <w:tr w:rsidR="00766D2B" w14:paraId="7599F4A2" w14:textId="77777777" w:rsidTr="009D48D1">
        <w:tc>
          <w:tcPr>
            <w:tcW w:w="1800" w:type="dxa"/>
            <w:shd w:val="clear" w:color="auto" w:fill="FFFFFF"/>
            <w:tcMar>
              <w:top w:w="80" w:type="dxa"/>
              <w:left w:w="120" w:type="dxa"/>
              <w:bottom w:w="80" w:type="dxa"/>
              <w:right w:w="120" w:type="dxa"/>
            </w:tcMar>
          </w:tcPr>
          <w:p w14:paraId="7636E06F" w14:textId="77777777" w:rsidR="00766D2B" w:rsidRDefault="00766D2B" w:rsidP="009D48D1">
            <w:r>
              <w:rPr>
                <w:sz w:val="20"/>
                <w:szCs w:val="20"/>
              </w:rPr>
              <w:t>New York</w:t>
            </w:r>
          </w:p>
        </w:tc>
        <w:tc>
          <w:tcPr>
            <w:tcW w:w="2600" w:type="dxa"/>
            <w:shd w:val="clear" w:color="auto" w:fill="FFFFFF"/>
            <w:tcMar>
              <w:top w:w="80" w:type="dxa"/>
              <w:left w:w="120" w:type="dxa"/>
              <w:bottom w:w="80" w:type="dxa"/>
              <w:right w:w="120" w:type="dxa"/>
            </w:tcMar>
          </w:tcPr>
          <w:p w14:paraId="324CFA96" w14:textId="77777777" w:rsidR="00766D2B" w:rsidRDefault="00766D2B" w:rsidP="009D48D1">
            <w:r>
              <w:rPr>
                <w:sz w:val="20"/>
                <w:szCs w:val="20"/>
              </w:rPr>
              <w:t>Apr 2020 (initial wave)</w:t>
            </w:r>
          </w:p>
        </w:tc>
        <w:tc>
          <w:tcPr>
            <w:tcW w:w="2560" w:type="dxa"/>
            <w:shd w:val="clear" w:color="auto" w:fill="FFFFFF"/>
            <w:tcMar>
              <w:top w:w="80" w:type="dxa"/>
              <w:left w:w="120" w:type="dxa"/>
              <w:bottom w:w="80" w:type="dxa"/>
              <w:right w:w="120" w:type="dxa"/>
            </w:tcMar>
          </w:tcPr>
          <w:p w14:paraId="4E36147F" w14:textId="77777777" w:rsidR="00766D2B" w:rsidRDefault="00766D2B" w:rsidP="009D48D1">
            <w:r>
              <w:rPr>
                <w:sz w:val="20"/>
                <w:szCs w:val="20"/>
              </w:rPr>
              <w:t>~800 per day</w:t>
            </w:r>
          </w:p>
        </w:tc>
        <w:tc>
          <w:tcPr>
            <w:tcW w:w="2400" w:type="dxa"/>
            <w:shd w:val="clear" w:color="auto" w:fill="FFFFFF"/>
            <w:tcMar>
              <w:top w:w="80" w:type="dxa"/>
              <w:left w:w="120" w:type="dxa"/>
              <w:bottom w:w="80" w:type="dxa"/>
              <w:right w:w="120" w:type="dxa"/>
            </w:tcMar>
          </w:tcPr>
          <w:p w14:paraId="0BBD3B55" w14:textId="77777777" w:rsidR="00766D2B" w:rsidRDefault="00766D2B" w:rsidP="009D48D1">
            <w:r>
              <w:rPr>
                <w:sz w:val="20"/>
                <w:szCs w:val="20"/>
              </w:rPr>
              <w:t>7.8%</w:t>
            </w:r>
          </w:p>
        </w:tc>
      </w:tr>
      <w:tr w:rsidR="00766D2B" w14:paraId="7FBB6A15" w14:textId="77777777" w:rsidTr="009D48D1">
        <w:tc>
          <w:tcPr>
            <w:tcW w:w="1800" w:type="dxa"/>
            <w:shd w:val="clear" w:color="auto" w:fill="FFFFFF"/>
            <w:tcMar>
              <w:top w:w="80" w:type="dxa"/>
              <w:left w:w="120" w:type="dxa"/>
              <w:bottom w:w="80" w:type="dxa"/>
              <w:right w:w="120" w:type="dxa"/>
            </w:tcMar>
          </w:tcPr>
          <w:p w14:paraId="2E4AD301" w14:textId="77777777" w:rsidR="00766D2B" w:rsidRDefault="00766D2B" w:rsidP="009D48D1">
            <w:r>
              <w:rPr>
                <w:sz w:val="20"/>
                <w:szCs w:val="20"/>
              </w:rPr>
              <w:t>Illinois</w:t>
            </w:r>
          </w:p>
        </w:tc>
        <w:tc>
          <w:tcPr>
            <w:tcW w:w="2600" w:type="dxa"/>
            <w:shd w:val="clear" w:color="auto" w:fill="FFFFFF"/>
            <w:tcMar>
              <w:top w:w="80" w:type="dxa"/>
              <w:left w:w="120" w:type="dxa"/>
              <w:bottom w:w="80" w:type="dxa"/>
              <w:right w:w="120" w:type="dxa"/>
            </w:tcMar>
          </w:tcPr>
          <w:p w14:paraId="078D936D" w14:textId="77777777" w:rsidR="00766D2B" w:rsidRDefault="00766D2B" w:rsidP="009D48D1">
            <w:r>
              <w:rPr>
                <w:sz w:val="20"/>
                <w:szCs w:val="20"/>
              </w:rPr>
              <w:t>Nov – Dec 2020</w:t>
            </w:r>
          </w:p>
        </w:tc>
        <w:tc>
          <w:tcPr>
            <w:tcW w:w="2560" w:type="dxa"/>
            <w:shd w:val="clear" w:color="auto" w:fill="FFFFFF"/>
            <w:tcMar>
              <w:top w:w="80" w:type="dxa"/>
              <w:left w:w="120" w:type="dxa"/>
              <w:bottom w:w="80" w:type="dxa"/>
              <w:right w:w="120" w:type="dxa"/>
            </w:tcMar>
          </w:tcPr>
          <w:p w14:paraId="5D5D69B4" w14:textId="77777777" w:rsidR="00766D2B" w:rsidRDefault="00766D2B" w:rsidP="009D48D1">
            <w:r>
              <w:rPr>
                <w:sz w:val="20"/>
                <w:szCs w:val="20"/>
              </w:rPr>
              <w:t>~210 per day</w:t>
            </w:r>
          </w:p>
        </w:tc>
        <w:tc>
          <w:tcPr>
            <w:tcW w:w="2400" w:type="dxa"/>
            <w:shd w:val="clear" w:color="auto" w:fill="FFFFFF"/>
            <w:tcMar>
              <w:top w:w="80" w:type="dxa"/>
              <w:left w:w="120" w:type="dxa"/>
              <w:bottom w:w="80" w:type="dxa"/>
              <w:right w:w="120" w:type="dxa"/>
            </w:tcMar>
          </w:tcPr>
          <w:p w14:paraId="63AD0591" w14:textId="77777777" w:rsidR="00766D2B" w:rsidRDefault="00766D2B" w:rsidP="009D48D1">
            <w:r>
              <w:rPr>
                <w:sz w:val="20"/>
                <w:szCs w:val="20"/>
              </w:rPr>
              <w:t>1.5%</w:t>
            </w:r>
          </w:p>
        </w:tc>
      </w:tr>
    </w:tbl>
    <w:p w14:paraId="53E1A2BC" w14:textId="77777777" w:rsidR="00766D2B" w:rsidRDefault="00766D2B" w:rsidP="00766D2B">
      <w:pPr>
        <w:spacing w:before="80"/>
      </w:pPr>
    </w:p>
    <w:p w14:paraId="03C821B5" w14:textId="08D1C608" w:rsidR="00766D2B" w:rsidRDefault="00766D2B">
      <w:pPr>
        <w:spacing w:before="60" w:after="60"/>
      </w:pPr>
      <w:r w:rsidRPr="00E275DD">
        <w:rPr>
          <w:color w:val="000000" w:themeColor="text1"/>
        </w:rPr>
        <w:t>New York’s exceptionally high CFR during April 2020 reflects the initial outbreak period before effective treatment protocols were established, before widespread testing was available, and before ICU surge capacity had been deployed</w:t>
      </w:r>
      <w:r>
        <w:rPr>
          <w:color w:val="333333"/>
        </w:rPr>
        <w:t>.</w:t>
      </w:r>
    </w:p>
    <w:p w14:paraId="2FC1D2EE" w14:textId="77777777" w:rsidR="00645A15" w:rsidRDefault="002068AE">
      <w:pPr>
        <w:spacing w:before="60" w:after="60"/>
      </w:pPr>
      <w:r>
        <w:t>However, the historical analysis identifies the following as highest-risk counties for future rapid surges, based on their peak growth rates and case volumes:</w:t>
      </w:r>
    </w:p>
    <w:p w14:paraId="39C5B473" w14:textId="77777777" w:rsidR="00645A15" w:rsidRDefault="002068AE">
      <w:pPr>
        <w:pStyle w:val="ListParagraph"/>
        <w:numPr>
          <w:ilvl w:val="0"/>
          <w:numId w:val="2"/>
        </w:numPr>
        <w:spacing w:before="40" w:after="40"/>
      </w:pPr>
      <w:r>
        <w:t>Los Angeles, California — highest cumulative case count (5.6M+), densest urban area on the West Coast.</w:t>
      </w:r>
    </w:p>
    <w:p w14:paraId="70A87E42" w14:textId="77777777" w:rsidR="00645A15" w:rsidRDefault="002068AE">
      <w:pPr>
        <w:pStyle w:val="ListParagraph"/>
        <w:numPr>
          <w:ilvl w:val="0"/>
          <w:numId w:val="2"/>
        </w:numPr>
        <w:spacing w:before="40" w:after="40"/>
      </w:pPr>
      <w:r>
        <w:t>Miami-Dade, Florida — ranked second nationally; subtropical climate and year-round tourism elevate transmission risk.</w:t>
      </w:r>
    </w:p>
    <w:p w14:paraId="0B00AC0E" w14:textId="77777777" w:rsidR="00645A15" w:rsidRDefault="002068AE">
      <w:pPr>
        <w:pStyle w:val="ListParagraph"/>
        <w:numPr>
          <w:ilvl w:val="0"/>
          <w:numId w:val="2"/>
        </w:numPr>
        <w:spacing w:before="40" w:after="40"/>
      </w:pPr>
      <w:r>
        <w:t>Cook County (Chicago), Illinois — third nationally; high population density and major transit hub.</w:t>
      </w:r>
    </w:p>
    <w:p w14:paraId="33D55527" w14:textId="77777777" w:rsidR="00645A15" w:rsidRDefault="002068AE">
      <w:pPr>
        <w:pStyle w:val="ListParagraph"/>
        <w:numPr>
          <w:ilvl w:val="0"/>
          <w:numId w:val="2"/>
        </w:numPr>
        <w:spacing w:before="40" w:after="40"/>
      </w:pPr>
      <w:r>
        <w:t>Harris County (Houston), Texas — rapid growth rates during Delta and Omicron surges.</w:t>
      </w:r>
    </w:p>
    <w:p w14:paraId="1A307843" w14:textId="77777777" w:rsidR="00645A15" w:rsidRDefault="002068AE">
      <w:pPr>
        <w:pStyle w:val="ListParagraph"/>
        <w:numPr>
          <w:ilvl w:val="0"/>
          <w:numId w:val="2"/>
        </w:numPr>
        <w:spacing w:before="40" w:after="40"/>
      </w:pPr>
      <w:r>
        <w:t>Maricopa County (Phoenix), Arizona — consistent high ranking across all three major waves.</w:t>
      </w:r>
    </w:p>
    <w:p w14:paraId="50825391" w14:textId="77777777" w:rsidR="00645A15" w:rsidRDefault="002068AE">
      <w:pPr>
        <w:pStyle w:val="Heading2"/>
        <w:pBdr>
          <w:bottom w:val="single" w:sz="4" w:space="4" w:color="2E75B6"/>
        </w:pBdr>
      </w:pPr>
      <w:r>
        <w:t xml:space="preserve">6.3 </w:t>
      </w:r>
      <w:r w:rsidR="00766D2B">
        <w:t>Impact of External Factors and Policy Events</w:t>
      </w:r>
    </w:p>
    <w:p w14:paraId="32CCC87B" w14:textId="77777777" w:rsidR="00766D2B" w:rsidRDefault="00766D2B" w:rsidP="00766D2B">
      <w:pPr>
        <w:spacing w:before="60" w:after="60"/>
        <w:jc w:val="both"/>
      </w:pPr>
      <w:r>
        <w:rPr>
          <w:color w:val="333333"/>
        </w:rPr>
        <w:t>To assess the measurable impact of policy interventions, seven major US and California-specific policy milestones were annotated on the California daily new-case timeline. For each event, the 14-day average daily case count immediately before and after was calculated to produce a quantitative before/after comparison.</w:t>
      </w:r>
    </w:p>
    <w:p w14:paraId="7533D240" w14:textId="77777777" w:rsidR="00766D2B" w:rsidRDefault="00766D2B">
      <w:pPr>
        <w:spacing w:before="60" w:after="60"/>
      </w:pPr>
    </w:p>
    <w:p w14:paraId="6015CA99" w14:textId="77777777" w:rsidR="00766D2B" w:rsidRDefault="00766D2B">
      <w:pPr>
        <w:spacing w:before="60" w:after="60"/>
      </w:pPr>
    </w:p>
    <w:p w14:paraId="3F0A3868" w14:textId="77777777" w:rsidR="00766D2B" w:rsidRDefault="00766D2B">
      <w:pPr>
        <w:spacing w:before="60" w:after="60"/>
      </w:pPr>
    </w:p>
    <w:p w14:paraId="0622CC0B" w14:textId="77777777" w:rsidR="00766D2B" w:rsidRDefault="00766D2B">
      <w:pPr>
        <w:spacing w:before="60" w:after="60"/>
      </w:pPr>
    </w:p>
    <w:p w14:paraId="7FFA88CD" w14:textId="77777777" w:rsidR="00766D2B" w:rsidRDefault="00766D2B">
      <w:pPr>
        <w:spacing w:before="60" w:after="60"/>
      </w:pPr>
    </w:p>
    <w:p w14:paraId="495F1343" w14:textId="77777777" w:rsidR="00766D2B" w:rsidRDefault="00766D2B">
      <w:pPr>
        <w:spacing w:before="60" w:after="60"/>
      </w:pPr>
    </w:p>
    <w:p w14:paraId="5F72D5AB" w14:textId="77777777" w:rsidR="00766D2B" w:rsidRDefault="00766D2B">
      <w:pPr>
        <w:spacing w:before="60" w:after="60"/>
      </w:pPr>
    </w:p>
    <w:p w14:paraId="537BE347" w14:textId="77777777" w:rsidR="00766D2B" w:rsidRDefault="00766D2B">
      <w:pPr>
        <w:spacing w:before="60" w:after="60"/>
      </w:pPr>
    </w:p>
    <w:p w14:paraId="52CAF2AF" w14:textId="77777777" w:rsidR="00766D2B" w:rsidRDefault="00766D2B">
      <w:pPr>
        <w:spacing w:before="60" w:after="60"/>
      </w:pPr>
    </w:p>
    <w:p w14:paraId="4ECCFFE3" w14:textId="77777777" w:rsidR="00766D2B" w:rsidRDefault="00766D2B">
      <w:pPr>
        <w:spacing w:before="60" w:after="60"/>
      </w:pPr>
    </w:p>
    <w:p w14:paraId="298178EA" w14:textId="77777777" w:rsidR="00766D2B" w:rsidRDefault="00766D2B">
      <w:pPr>
        <w:spacing w:before="60" w:after="60"/>
      </w:pPr>
    </w:p>
    <w:p w14:paraId="67086D7D" w14:textId="77777777" w:rsidR="00766D2B" w:rsidRDefault="00766D2B">
      <w:pPr>
        <w:spacing w:before="60" w:after="60"/>
      </w:pPr>
    </w:p>
    <w:p w14:paraId="495D555D" w14:textId="77777777" w:rsidR="00766D2B" w:rsidRDefault="00766D2B">
      <w:pPr>
        <w:spacing w:before="60" w:after="60"/>
      </w:pPr>
      <w:r>
        <w:rPr>
          <w:noProof/>
        </w:rPr>
        <w:lastRenderedPageBreak/>
        <w:drawing>
          <wp:inline distT="0" distB="0" distL="0" distR="0" wp14:anchorId="2F4F642A" wp14:editId="6AD28709">
            <wp:extent cx="6400800" cy="2778577"/>
            <wp:effectExtent l="0" t="0" r="0" b="3175"/>
            <wp:docPr id="25" name="Picture 25" descr="C:\Users\User\AppData\Local\Microsoft\Windows\INetCache\Content.MSO\BF29667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ser\AppData\Local\Microsoft\Windows\INetCache\Content.MSO\BF296670.tm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400800" cy="2778577"/>
                    </a:xfrm>
                    <a:prstGeom prst="rect">
                      <a:avLst/>
                    </a:prstGeom>
                    <a:noFill/>
                    <a:ln>
                      <a:noFill/>
                    </a:ln>
                  </pic:spPr>
                </pic:pic>
              </a:graphicData>
            </a:graphic>
          </wp:inline>
        </w:drawing>
      </w:r>
    </w:p>
    <w:p w14:paraId="1CA09B6B" w14:textId="77777777" w:rsidR="00766D2B" w:rsidRDefault="00766D2B" w:rsidP="00766D2B">
      <w:pPr>
        <w:spacing w:before="40" w:after="120"/>
        <w:jc w:val="center"/>
      </w:pPr>
      <w:r>
        <w:rPr>
          <w:i/>
          <w:iCs/>
          <w:color w:val="666666"/>
          <w:sz w:val="18"/>
          <w:szCs w:val="18"/>
        </w:rPr>
        <w:t>Figure 22 — California Daily New Cases with Key Policy Events Annotated (Red = restrictive measures | Green = reopening measures | Purple = vaccine rollout)</w:t>
      </w:r>
    </w:p>
    <w:p w14:paraId="5877080C" w14:textId="77777777" w:rsidR="00766D2B" w:rsidRDefault="00766D2B" w:rsidP="00766D2B">
      <w:pPr>
        <w:spacing w:before="80"/>
      </w:pPr>
    </w:p>
    <w:p w14:paraId="697CACB1" w14:textId="77777777" w:rsidR="00E71309" w:rsidRDefault="00E71309" w:rsidP="00E71309">
      <w:pPr>
        <w:spacing w:before="60" w:after="60"/>
      </w:pPr>
      <w:r>
        <w:rPr>
          <w:color w:val="333333"/>
        </w:rPr>
        <w:t>The table below maps each policy event to its measured 14-day impact:</w:t>
      </w:r>
    </w:p>
    <w:p w14:paraId="6EF9F790" w14:textId="77777777" w:rsidR="00E71309" w:rsidRDefault="00E71309" w:rsidP="00E71309">
      <w:pPr>
        <w:spacing w:before="80"/>
      </w:pP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899"/>
        <w:gridCol w:w="899"/>
        <w:gridCol w:w="1299"/>
        <w:gridCol w:w="1299"/>
        <w:gridCol w:w="1107"/>
        <w:gridCol w:w="2857"/>
      </w:tblGrid>
      <w:tr w:rsidR="00E71309" w14:paraId="35C79237" w14:textId="77777777" w:rsidTr="009D48D1">
        <w:tc>
          <w:tcPr>
            <w:tcW w:w="1900" w:type="dxa"/>
            <w:shd w:val="clear" w:color="auto" w:fill="D5E8F0"/>
            <w:tcMar>
              <w:top w:w="80" w:type="dxa"/>
              <w:left w:w="120" w:type="dxa"/>
              <w:bottom w:w="80" w:type="dxa"/>
              <w:right w:w="120" w:type="dxa"/>
            </w:tcMar>
          </w:tcPr>
          <w:p w14:paraId="069B336C" w14:textId="77777777" w:rsidR="00E71309" w:rsidRDefault="00E71309" w:rsidP="009D48D1">
            <w:r>
              <w:rPr>
                <w:b/>
                <w:bCs/>
                <w:sz w:val="20"/>
                <w:szCs w:val="20"/>
              </w:rPr>
              <w:t>Policy Event</w:t>
            </w:r>
          </w:p>
        </w:tc>
        <w:tc>
          <w:tcPr>
            <w:tcW w:w="900" w:type="dxa"/>
            <w:shd w:val="clear" w:color="auto" w:fill="D5E8F0"/>
            <w:tcMar>
              <w:top w:w="80" w:type="dxa"/>
              <w:left w:w="120" w:type="dxa"/>
              <w:bottom w:w="80" w:type="dxa"/>
              <w:right w:w="120" w:type="dxa"/>
            </w:tcMar>
          </w:tcPr>
          <w:p w14:paraId="0B105D20" w14:textId="77777777" w:rsidR="00E71309" w:rsidRDefault="00E71309" w:rsidP="009D48D1">
            <w:r>
              <w:rPr>
                <w:b/>
                <w:bCs/>
                <w:sz w:val="20"/>
                <w:szCs w:val="20"/>
              </w:rPr>
              <w:t>Date</w:t>
            </w:r>
          </w:p>
        </w:tc>
        <w:tc>
          <w:tcPr>
            <w:tcW w:w="1300" w:type="dxa"/>
            <w:shd w:val="clear" w:color="auto" w:fill="D5E8F0"/>
            <w:tcMar>
              <w:top w:w="80" w:type="dxa"/>
              <w:left w:w="120" w:type="dxa"/>
              <w:bottom w:w="80" w:type="dxa"/>
              <w:right w:w="120" w:type="dxa"/>
            </w:tcMar>
          </w:tcPr>
          <w:p w14:paraId="0DD15285" w14:textId="77777777" w:rsidR="00E71309" w:rsidRDefault="00E71309" w:rsidP="009D48D1">
            <w:r>
              <w:rPr>
                <w:b/>
                <w:bCs/>
                <w:sz w:val="20"/>
                <w:szCs w:val="20"/>
              </w:rPr>
              <w:t>14-Day Avg Before</w:t>
            </w:r>
          </w:p>
        </w:tc>
        <w:tc>
          <w:tcPr>
            <w:tcW w:w="1300" w:type="dxa"/>
            <w:shd w:val="clear" w:color="auto" w:fill="D5E8F0"/>
            <w:tcMar>
              <w:top w:w="80" w:type="dxa"/>
              <w:left w:w="120" w:type="dxa"/>
              <w:bottom w:w="80" w:type="dxa"/>
              <w:right w:w="120" w:type="dxa"/>
            </w:tcMar>
          </w:tcPr>
          <w:p w14:paraId="32576D24" w14:textId="77777777" w:rsidR="00E71309" w:rsidRDefault="00E71309" w:rsidP="009D48D1">
            <w:r>
              <w:rPr>
                <w:b/>
                <w:bCs/>
                <w:sz w:val="20"/>
                <w:szCs w:val="20"/>
              </w:rPr>
              <w:t>14-Day Avg After</w:t>
            </w:r>
          </w:p>
        </w:tc>
        <w:tc>
          <w:tcPr>
            <w:tcW w:w="1100" w:type="dxa"/>
            <w:shd w:val="clear" w:color="auto" w:fill="D5E8F0"/>
            <w:tcMar>
              <w:top w:w="80" w:type="dxa"/>
              <w:left w:w="120" w:type="dxa"/>
              <w:bottom w:w="80" w:type="dxa"/>
              <w:right w:w="120" w:type="dxa"/>
            </w:tcMar>
          </w:tcPr>
          <w:p w14:paraId="5F02DA17" w14:textId="77777777" w:rsidR="00E71309" w:rsidRDefault="00E71309" w:rsidP="009D48D1">
            <w:r>
              <w:rPr>
                <w:b/>
                <w:bCs/>
                <w:sz w:val="20"/>
                <w:szCs w:val="20"/>
              </w:rPr>
              <w:t>Direction</w:t>
            </w:r>
          </w:p>
        </w:tc>
        <w:tc>
          <w:tcPr>
            <w:tcW w:w="2860" w:type="dxa"/>
            <w:shd w:val="clear" w:color="auto" w:fill="D5E8F0"/>
            <w:tcMar>
              <w:top w:w="80" w:type="dxa"/>
              <w:left w:w="120" w:type="dxa"/>
              <w:bottom w:w="80" w:type="dxa"/>
              <w:right w:w="120" w:type="dxa"/>
            </w:tcMar>
          </w:tcPr>
          <w:p w14:paraId="0B75804C" w14:textId="77777777" w:rsidR="00E71309" w:rsidRDefault="00E71309" w:rsidP="009D48D1">
            <w:r>
              <w:rPr>
                <w:b/>
                <w:bCs/>
                <w:sz w:val="20"/>
                <w:szCs w:val="20"/>
              </w:rPr>
              <w:t>Assessment</w:t>
            </w:r>
          </w:p>
        </w:tc>
      </w:tr>
      <w:tr w:rsidR="00E71309" w14:paraId="5CF47435" w14:textId="77777777" w:rsidTr="009D48D1">
        <w:tc>
          <w:tcPr>
            <w:tcW w:w="1900" w:type="dxa"/>
            <w:shd w:val="clear" w:color="auto" w:fill="FFFFFF"/>
            <w:tcMar>
              <w:top w:w="80" w:type="dxa"/>
              <w:left w:w="120" w:type="dxa"/>
              <w:bottom w:w="80" w:type="dxa"/>
              <w:right w:w="120" w:type="dxa"/>
            </w:tcMar>
          </w:tcPr>
          <w:p w14:paraId="44412112" w14:textId="77777777" w:rsidR="00E71309" w:rsidRDefault="00E71309" w:rsidP="009D48D1">
            <w:r>
              <w:rPr>
                <w:sz w:val="20"/>
                <w:szCs w:val="20"/>
              </w:rPr>
              <w:t>First US lockdowns</w:t>
            </w:r>
          </w:p>
        </w:tc>
        <w:tc>
          <w:tcPr>
            <w:tcW w:w="900" w:type="dxa"/>
            <w:shd w:val="clear" w:color="auto" w:fill="FFFFFF"/>
            <w:tcMar>
              <w:top w:w="80" w:type="dxa"/>
              <w:left w:w="120" w:type="dxa"/>
              <w:bottom w:w="80" w:type="dxa"/>
              <w:right w:w="120" w:type="dxa"/>
            </w:tcMar>
          </w:tcPr>
          <w:p w14:paraId="119E8842" w14:textId="77777777" w:rsidR="00E71309" w:rsidRDefault="00E71309" w:rsidP="009D48D1">
            <w:r>
              <w:rPr>
                <w:sz w:val="20"/>
                <w:szCs w:val="20"/>
              </w:rPr>
              <w:t>Mar 2020</w:t>
            </w:r>
          </w:p>
        </w:tc>
        <w:tc>
          <w:tcPr>
            <w:tcW w:w="1300" w:type="dxa"/>
            <w:shd w:val="clear" w:color="auto" w:fill="FFFFFF"/>
            <w:tcMar>
              <w:top w:w="80" w:type="dxa"/>
              <w:left w:w="120" w:type="dxa"/>
              <w:bottom w:w="80" w:type="dxa"/>
              <w:right w:w="120" w:type="dxa"/>
            </w:tcMar>
          </w:tcPr>
          <w:p w14:paraId="09DE01DB" w14:textId="77777777" w:rsidR="00E71309" w:rsidRDefault="00E71309" w:rsidP="009D48D1">
            <w:r>
              <w:rPr>
                <w:sz w:val="20"/>
                <w:szCs w:val="20"/>
              </w:rPr>
              <w:t>~8,200</w:t>
            </w:r>
          </w:p>
        </w:tc>
        <w:tc>
          <w:tcPr>
            <w:tcW w:w="1300" w:type="dxa"/>
            <w:shd w:val="clear" w:color="auto" w:fill="FFFFFF"/>
            <w:tcMar>
              <w:top w:w="80" w:type="dxa"/>
              <w:left w:w="120" w:type="dxa"/>
              <w:bottom w:w="80" w:type="dxa"/>
              <w:right w:w="120" w:type="dxa"/>
            </w:tcMar>
          </w:tcPr>
          <w:p w14:paraId="24F9D2AD" w14:textId="77777777" w:rsidR="00E71309" w:rsidRDefault="00E71309" w:rsidP="009D48D1">
            <w:r>
              <w:rPr>
                <w:sz w:val="20"/>
                <w:szCs w:val="20"/>
              </w:rPr>
              <w:t>~6,100</w:t>
            </w:r>
          </w:p>
        </w:tc>
        <w:tc>
          <w:tcPr>
            <w:tcW w:w="1100" w:type="dxa"/>
            <w:shd w:val="clear" w:color="auto" w:fill="FFFFFF"/>
            <w:tcMar>
              <w:top w:w="80" w:type="dxa"/>
              <w:left w:w="120" w:type="dxa"/>
              <w:bottom w:w="80" w:type="dxa"/>
              <w:right w:w="120" w:type="dxa"/>
            </w:tcMar>
          </w:tcPr>
          <w:p w14:paraId="1F13FF75" w14:textId="77777777" w:rsidR="00E71309" w:rsidRDefault="00E71309" w:rsidP="009D48D1">
            <w:r>
              <w:rPr>
                <w:sz w:val="20"/>
                <w:szCs w:val="20"/>
              </w:rPr>
              <w:t>DOWN</w:t>
            </w:r>
          </w:p>
        </w:tc>
        <w:tc>
          <w:tcPr>
            <w:tcW w:w="2860" w:type="dxa"/>
            <w:shd w:val="clear" w:color="auto" w:fill="FFFFFF"/>
            <w:tcMar>
              <w:top w:w="80" w:type="dxa"/>
              <w:left w:w="120" w:type="dxa"/>
              <w:bottom w:w="80" w:type="dxa"/>
              <w:right w:w="120" w:type="dxa"/>
            </w:tcMar>
          </w:tcPr>
          <w:p w14:paraId="5D3BDF5A" w14:textId="77777777" w:rsidR="00E71309" w:rsidRDefault="00E71309" w:rsidP="009D48D1">
            <w:r>
              <w:rPr>
                <w:sz w:val="20"/>
                <w:szCs w:val="20"/>
              </w:rPr>
              <w:t>Effective suppression of initial wave</w:t>
            </w:r>
          </w:p>
        </w:tc>
      </w:tr>
      <w:tr w:rsidR="00E71309" w14:paraId="78E94544" w14:textId="77777777" w:rsidTr="009D48D1">
        <w:tc>
          <w:tcPr>
            <w:tcW w:w="1900" w:type="dxa"/>
            <w:shd w:val="clear" w:color="auto" w:fill="FFFFFF"/>
            <w:tcMar>
              <w:top w:w="80" w:type="dxa"/>
              <w:left w:w="120" w:type="dxa"/>
              <w:bottom w:w="80" w:type="dxa"/>
              <w:right w:w="120" w:type="dxa"/>
            </w:tcMar>
          </w:tcPr>
          <w:p w14:paraId="291B0067" w14:textId="77777777" w:rsidR="00E71309" w:rsidRDefault="00E71309" w:rsidP="009D48D1">
            <w:r>
              <w:rPr>
                <w:sz w:val="20"/>
                <w:szCs w:val="20"/>
              </w:rPr>
              <w:t>Phase 1 reopening</w:t>
            </w:r>
          </w:p>
        </w:tc>
        <w:tc>
          <w:tcPr>
            <w:tcW w:w="900" w:type="dxa"/>
            <w:shd w:val="clear" w:color="auto" w:fill="FFFFFF"/>
            <w:tcMar>
              <w:top w:w="80" w:type="dxa"/>
              <w:left w:w="120" w:type="dxa"/>
              <w:bottom w:w="80" w:type="dxa"/>
              <w:right w:w="120" w:type="dxa"/>
            </w:tcMar>
          </w:tcPr>
          <w:p w14:paraId="0BEB3F85" w14:textId="77777777" w:rsidR="00E71309" w:rsidRDefault="00E71309" w:rsidP="009D48D1">
            <w:r>
              <w:rPr>
                <w:sz w:val="20"/>
                <w:szCs w:val="20"/>
              </w:rPr>
              <w:t>May 2020</w:t>
            </w:r>
          </w:p>
        </w:tc>
        <w:tc>
          <w:tcPr>
            <w:tcW w:w="1300" w:type="dxa"/>
            <w:shd w:val="clear" w:color="auto" w:fill="FFFFFF"/>
            <w:tcMar>
              <w:top w:w="80" w:type="dxa"/>
              <w:left w:w="120" w:type="dxa"/>
              <w:bottom w:w="80" w:type="dxa"/>
              <w:right w:w="120" w:type="dxa"/>
            </w:tcMar>
          </w:tcPr>
          <w:p w14:paraId="5AF08B76" w14:textId="77777777" w:rsidR="00E71309" w:rsidRDefault="00E71309" w:rsidP="009D48D1">
            <w:r>
              <w:rPr>
                <w:sz w:val="20"/>
                <w:szCs w:val="20"/>
              </w:rPr>
              <w:t>~4,800</w:t>
            </w:r>
          </w:p>
        </w:tc>
        <w:tc>
          <w:tcPr>
            <w:tcW w:w="1300" w:type="dxa"/>
            <w:shd w:val="clear" w:color="auto" w:fill="FFFFFF"/>
            <w:tcMar>
              <w:top w:w="80" w:type="dxa"/>
              <w:left w:w="120" w:type="dxa"/>
              <w:bottom w:w="80" w:type="dxa"/>
              <w:right w:w="120" w:type="dxa"/>
            </w:tcMar>
          </w:tcPr>
          <w:p w14:paraId="592305E8" w14:textId="77777777" w:rsidR="00E71309" w:rsidRDefault="00E71309" w:rsidP="009D48D1">
            <w:r>
              <w:rPr>
                <w:sz w:val="20"/>
                <w:szCs w:val="20"/>
              </w:rPr>
              <w:t>~6,900</w:t>
            </w:r>
          </w:p>
        </w:tc>
        <w:tc>
          <w:tcPr>
            <w:tcW w:w="1100" w:type="dxa"/>
            <w:shd w:val="clear" w:color="auto" w:fill="FFFFFF"/>
            <w:tcMar>
              <w:top w:w="80" w:type="dxa"/>
              <w:left w:w="120" w:type="dxa"/>
              <w:bottom w:w="80" w:type="dxa"/>
              <w:right w:w="120" w:type="dxa"/>
            </w:tcMar>
          </w:tcPr>
          <w:p w14:paraId="2FA67F88" w14:textId="77777777" w:rsidR="00E71309" w:rsidRDefault="00E71309" w:rsidP="009D48D1">
            <w:r>
              <w:rPr>
                <w:sz w:val="20"/>
                <w:szCs w:val="20"/>
              </w:rPr>
              <w:t xml:space="preserve"> UP</w:t>
            </w:r>
          </w:p>
        </w:tc>
        <w:tc>
          <w:tcPr>
            <w:tcW w:w="2860" w:type="dxa"/>
            <w:shd w:val="clear" w:color="auto" w:fill="FFFFFF"/>
            <w:tcMar>
              <w:top w:w="80" w:type="dxa"/>
              <w:left w:w="120" w:type="dxa"/>
              <w:bottom w:w="80" w:type="dxa"/>
              <w:right w:w="120" w:type="dxa"/>
            </w:tcMar>
          </w:tcPr>
          <w:p w14:paraId="21774D9D" w14:textId="77777777" w:rsidR="00E71309" w:rsidRDefault="00E71309" w:rsidP="009D48D1">
            <w:r>
              <w:rPr>
                <w:sz w:val="20"/>
                <w:szCs w:val="20"/>
              </w:rPr>
              <w:t>Preceded summer 2020 surge</w:t>
            </w:r>
          </w:p>
        </w:tc>
      </w:tr>
      <w:tr w:rsidR="00E71309" w14:paraId="3E602DD6" w14:textId="77777777" w:rsidTr="009D48D1">
        <w:tc>
          <w:tcPr>
            <w:tcW w:w="1900" w:type="dxa"/>
            <w:shd w:val="clear" w:color="auto" w:fill="FFFFFF"/>
            <w:tcMar>
              <w:top w:w="80" w:type="dxa"/>
              <w:left w:w="120" w:type="dxa"/>
              <w:bottom w:w="80" w:type="dxa"/>
              <w:right w:w="120" w:type="dxa"/>
            </w:tcMar>
          </w:tcPr>
          <w:p w14:paraId="28133B9D" w14:textId="77777777" w:rsidR="00E71309" w:rsidRDefault="00E71309" w:rsidP="009D48D1">
            <w:r>
              <w:rPr>
                <w:sz w:val="20"/>
                <w:szCs w:val="20"/>
              </w:rPr>
              <w:t>California re-closes</w:t>
            </w:r>
          </w:p>
        </w:tc>
        <w:tc>
          <w:tcPr>
            <w:tcW w:w="900" w:type="dxa"/>
            <w:shd w:val="clear" w:color="auto" w:fill="FFFFFF"/>
            <w:tcMar>
              <w:top w:w="80" w:type="dxa"/>
              <w:left w:w="120" w:type="dxa"/>
              <w:bottom w:w="80" w:type="dxa"/>
              <w:right w:w="120" w:type="dxa"/>
            </w:tcMar>
          </w:tcPr>
          <w:p w14:paraId="04E2BDE5" w14:textId="77777777" w:rsidR="00E71309" w:rsidRDefault="00E71309" w:rsidP="009D48D1">
            <w:r>
              <w:rPr>
                <w:sz w:val="20"/>
                <w:szCs w:val="20"/>
              </w:rPr>
              <w:t>Jul 2020</w:t>
            </w:r>
          </w:p>
        </w:tc>
        <w:tc>
          <w:tcPr>
            <w:tcW w:w="1300" w:type="dxa"/>
            <w:shd w:val="clear" w:color="auto" w:fill="FFFFFF"/>
            <w:tcMar>
              <w:top w:w="80" w:type="dxa"/>
              <w:left w:w="120" w:type="dxa"/>
              <w:bottom w:w="80" w:type="dxa"/>
              <w:right w:w="120" w:type="dxa"/>
            </w:tcMar>
          </w:tcPr>
          <w:p w14:paraId="099BB517" w14:textId="77777777" w:rsidR="00E71309" w:rsidRDefault="00E71309" w:rsidP="009D48D1">
            <w:r>
              <w:rPr>
                <w:sz w:val="20"/>
                <w:szCs w:val="20"/>
              </w:rPr>
              <w:t>~11,200</w:t>
            </w:r>
          </w:p>
        </w:tc>
        <w:tc>
          <w:tcPr>
            <w:tcW w:w="1300" w:type="dxa"/>
            <w:shd w:val="clear" w:color="auto" w:fill="FFFFFF"/>
            <w:tcMar>
              <w:top w:w="80" w:type="dxa"/>
              <w:left w:w="120" w:type="dxa"/>
              <w:bottom w:w="80" w:type="dxa"/>
              <w:right w:w="120" w:type="dxa"/>
            </w:tcMar>
          </w:tcPr>
          <w:p w14:paraId="357EDDFE" w14:textId="77777777" w:rsidR="00E71309" w:rsidRDefault="00E71309" w:rsidP="009D48D1">
            <w:r>
              <w:rPr>
                <w:sz w:val="20"/>
                <w:szCs w:val="20"/>
              </w:rPr>
              <w:t>~9,400</w:t>
            </w:r>
          </w:p>
        </w:tc>
        <w:tc>
          <w:tcPr>
            <w:tcW w:w="1100" w:type="dxa"/>
            <w:shd w:val="clear" w:color="auto" w:fill="FFFFFF"/>
            <w:tcMar>
              <w:top w:w="80" w:type="dxa"/>
              <w:left w:w="120" w:type="dxa"/>
              <w:bottom w:w="80" w:type="dxa"/>
              <w:right w:w="120" w:type="dxa"/>
            </w:tcMar>
          </w:tcPr>
          <w:p w14:paraId="5F171A4F" w14:textId="77777777" w:rsidR="00E71309" w:rsidRDefault="00E71309" w:rsidP="009D48D1">
            <w:r>
              <w:rPr>
                <w:sz w:val="20"/>
                <w:szCs w:val="20"/>
              </w:rPr>
              <w:t>DOWN</w:t>
            </w:r>
          </w:p>
        </w:tc>
        <w:tc>
          <w:tcPr>
            <w:tcW w:w="2860" w:type="dxa"/>
            <w:shd w:val="clear" w:color="auto" w:fill="FFFFFF"/>
            <w:tcMar>
              <w:top w:w="80" w:type="dxa"/>
              <w:left w:w="120" w:type="dxa"/>
              <w:bottom w:w="80" w:type="dxa"/>
              <w:right w:w="120" w:type="dxa"/>
            </w:tcMar>
          </w:tcPr>
          <w:p w14:paraId="14593C04" w14:textId="77777777" w:rsidR="00E71309" w:rsidRDefault="00E71309" w:rsidP="009D48D1">
            <w:r>
              <w:rPr>
                <w:sz w:val="20"/>
                <w:szCs w:val="20"/>
              </w:rPr>
              <w:t>Partial suppression of summer wave</w:t>
            </w:r>
          </w:p>
        </w:tc>
      </w:tr>
      <w:tr w:rsidR="00E71309" w14:paraId="5F25F468" w14:textId="77777777" w:rsidTr="009D48D1">
        <w:tc>
          <w:tcPr>
            <w:tcW w:w="1900" w:type="dxa"/>
            <w:shd w:val="clear" w:color="auto" w:fill="FFFFFF"/>
            <w:tcMar>
              <w:top w:w="80" w:type="dxa"/>
              <w:left w:w="120" w:type="dxa"/>
              <w:bottom w:w="80" w:type="dxa"/>
              <w:right w:w="120" w:type="dxa"/>
            </w:tcMar>
          </w:tcPr>
          <w:p w14:paraId="0ACB300E" w14:textId="77777777" w:rsidR="00E71309" w:rsidRDefault="00E71309" w:rsidP="009D48D1">
            <w:r>
              <w:rPr>
                <w:sz w:val="20"/>
                <w:szCs w:val="20"/>
              </w:rPr>
              <w:t>Vaccine rollout begins</w:t>
            </w:r>
          </w:p>
        </w:tc>
        <w:tc>
          <w:tcPr>
            <w:tcW w:w="900" w:type="dxa"/>
            <w:shd w:val="clear" w:color="auto" w:fill="FFFFFF"/>
            <w:tcMar>
              <w:top w:w="80" w:type="dxa"/>
              <w:left w:w="120" w:type="dxa"/>
              <w:bottom w:w="80" w:type="dxa"/>
              <w:right w:w="120" w:type="dxa"/>
            </w:tcMar>
          </w:tcPr>
          <w:p w14:paraId="2FFF3D3D" w14:textId="77777777" w:rsidR="00E71309" w:rsidRDefault="00E71309" w:rsidP="009D48D1">
            <w:r>
              <w:rPr>
                <w:sz w:val="20"/>
                <w:szCs w:val="20"/>
              </w:rPr>
              <w:t>Dec 2020</w:t>
            </w:r>
          </w:p>
        </w:tc>
        <w:tc>
          <w:tcPr>
            <w:tcW w:w="1300" w:type="dxa"/>
            <w:shd w:val="clear" w:color="auto" w:fill="FFFFFF"/>
            <w:tcMar>
              <w:top w:w="80" w:type="dxa"/>
              <w:left w:w="120" w:type="dxa"/>
              <w:bottom w:w="80" w:type="dxa"/>
              <w:right w:w="120" w:type="dxa"/>
            </w:tcMar>
          </w:tcPr>
          <w:p w14:paraId="6DDD10D1" w14:textId="77777777" w:rsidR="00E71309" w:rsidRDefault="00E71309" w:rsidP="009D48D1">
            <w:r>
              <w:rPr>
                <w:sz w:val="20"/>
                <w:szCs w:val="20"/>
              </w:rPr>
              <w:t>~29,000</w:t>
            </w:r>
          </w:p>
        </w:tc>
        <w:tc>
          <w:tcPr>
            <w:tcW w:w="1300" w:type="dxa"/>
            <w:shd w:val="clear" w:color="auto" w:fill="FFFFFF"/>
            <w:tcMar>
              <w:top w:w="80" w:type="dxa"/>
              <w:left w:w="120" w:type="dxa"/>
              <w:bottom w:w="80" w:type="dxa"/>
              <w:right w:w="120" w:type="dxa"/>
            </w:tcMar>
          </w:tcPr>
          <w:p w14:paraId="54DB22F4" w14:textId="77777777" w:rsidR="00E71309" w:rsidRDefault="00E71309" w:rsidP="009D48D1">
            <w:r>
              <w:rPr>
                <w:sz w:val="20"/>
                <w:szCs w:val="20"/>
              </w:rPr>
              <w:t>~34,000</w:t>
            </w:r>
          </w:p>
        </w:tc>
        <w:tc>
          <w:tcPr>
            <w:tcW w:w="1100" w:type="dxa"/>
            <w:shd w:val="clear" w:color="auto" w:fill="FFFFFF"/>
            <w:tcMar>
              <w:top w:w="80" w:type="dxa"/>
              <w:left w:w="120" w:type="dxa"/>
              <w:bottom w:w="80" w:type="dxa"/>
              <w:right w:w="120" w:type="dxa"/>
            </w:tcMar>
          </w:tcPr>
          <w:p w14:paraId="75D8BC62" w14:textId="77777777" w:rsidR="00E71309" w:rsidRDefault="00E71309" w:rsidP="009D48D1">
            <w:r>
              <w:rPr>
                <w:sz w:val="20"/>
                <w:szCs w:val="20"/>
              </w:rPr>
              <w:t>UP</w:t>
            </w:r>
          </w:p>
        </w:tc>
        <w:tc>
          <w:tcPr>
            <w:tcW w:w="2860" w:type="dxa"/>
            <w:shd w:val="clear" w:color="auto" w:fill="FFFFFF"/>
            <w:tcMar>
              <w:top w:w="80" w:type="dxa"/>
              <w:left w:w="120" w:type="dxa"/>
              <w:bottom w:w="80" w:type="dxa"/>
              <w:right w:w="120" w:type="dxa"/>
            </w:tcMar>
          </w:tcPr>
          <w:p w14:paraId="16C00253" w14:textId="77777777" w:rsidR="00E71309" w:rsidRDefault="00E71309" w:rsidP="009D48D1">
            <w:r>
              <w:rPr>
                <w:sz w:val="20"/>
                <w:szCs w:val="20"/>
              </w:rPr>
              <w:t>Winter Alpha surge already under way; deaths fell later</w:t>
            </w:r>
          </w:p>
        </w:tc>
      </w:tr>
      <w:tr w:rsidR="00E71309" w14:paraId="138D633D" w14:textId="77777777" w:rsidTr="009D48D1">
        <w:tc>
          <w:tcPr>
            <w:tcW w:w="1900" w:type="dxa"/>
            <w:shd w:val="clear" w:color="auto" w:fill="FFFFFF"/>
            <w:tcMar>
              <w:top w:w="80" w:type="dxa"/>
              <w:left w:w="120" w:type="dxa"/>
              <w:bottom w:w="80" w:type="dxa"/>
              <w:right w:w="120" w:type="dxa"/>
            </w:tcMar>
          </w:tcPr>
          <w:p w14:paraId="4E1E13D8" w14:textId="77777777" w:rsidR="00E71309" w:rsidRDefault="00E71309" w:rsidP="009D48D1">
            <w:r>
              <w:rPr>
                <w:sz w:val="20"/>
                <w:szCs w:val="20"/>
              </w:rPr>
              <w:t>Delta wave onset</w:t>
            </w:r>
          </w:p>
        </w:tc>
        <w:tc>
          <w:tcPr>
            <w:tcW w:w="900" w:type="dxa"/>
            <w:shd w:val="clear" w:color="auto" w:fill="FFFFFF"/>
            <w:tcMar>
              <w:top w:w="80" w:type="dxa"/>
              <w:left w:w="120" w:type="dxa"/>
              <w:bottom w:w="80" w:type="dxa"/>
              <w:right w:w="120" w:type="dxa"/>
            </w:tcMar>
          </w:tcPr>
          <w:p w14:paraId="72EC2C0B" w14:textId="77777777" w:rsidR="00E71309" w:rsidRDefault="00E71309" w:rsidP="009D48D1">
            <w:r>
              <w:rPr>
                <w:sz w:val="20"/>
                <w:szCs w:val="20"/>
              </w:rPr>
              <w:t>Jul 2021</w:t>
            </w:r>
          </w:p>
        </w:tc>
        <w:tc>
          <w:tcPr>
            <w:tcW w:w="1300" w:type="dxa"/>
            <w:shd w:val="clear" w:color="auto" w:fill="FFFFFF"/>
            <w:tcMar>
              <w:top w:w="80" w:type="dxa"/>
              <w:left w:w="120" w:type="dxa"/>
              <w:bottom w:w="80" w:type="dxa"/>
              <w:right w:w="120" w:type="dxa"/>
            </w:tcMar>
          </w:tcPr>
          <w:p w14:paraId="69629562" w14:textId="77777777" w:rsidR="00E71309" w:rsidRDefault="00E71309" w:rsidP="009D48D1">
            <w:r>
              <w:rPr>
                <w:sz w:val="20"/>
                <w:szCs w:val="20"/>
              </w:rPr>
              <w:t>~3,500</w:t>
            </w:r>
          </w:p>
        </w:tc>
        <w:tc>
          <w:tcPr>
            <w:tcW w:w="1300" w:type="dxa"/>
            <w:shd w:val="clear" w:color="auto" w:fill="FFFFFF"/>
            <w:tcMar>
              <w:top w:w="80" w:type="dxa"/>
              <w:left w:w="120" w:type="dxa"/>
              <w:bottom w:w="80" w:type="dxa"/>
              <w:right w:w="120" w:type="dxa"/>
            </w:tcMar>
          </w:tcPr>
          <w:p w14:paraId="0609C651" w14:textId="77777777" w:rsidR="00E71309" w:rsidRDefault="00E71309" w:rsidP="009D48D1">
            <w:r>
              <w:rPr>
                <w:sz w:val="20"/>
                <w:szCs w:val="20"/>
              </w:rPr>
              <w:t>~12,000</w:t>
            </w:r>
          </w:p>
        </w:tc>
        <w:tc>
          <w:tcPr>
            <w:tcW w:w="1100" w:type="dxa"/>
            <w:shd w:val="clear" w:color="auto" w:fill="FFFFFF"/>
            <w:tcMar>
              <w:top w:w="80" w:type="dxa"/>
              <w:left w:w="120" w:type="dxa"/>
              <w:bottom w:w="80" w:type="dxa"/>
              <w:right w:w="120" w:type="dxa"/>
            </w:tcMar>
          </w:tcPr>
          <w:p w14:paraId="4009D29D" w14:textId="77777777" w:rsidR="00E71309" w:rsidRDefault="00E71309" w:rsidP="009D48D1">
            <w:r>
              <w:rPr>
                <w:sz w:val="20"/>
                <w:szCs w:val="20"/>
              </w:rPr>
              <w:t>UP</w:t>
            </w:r>
          </w:p>
        </w:tc>
        <w:tc>
          <w:tcPr>
            <w:tcW w:w="2860" w:type="dxa"/>
            <w:shd w:val="clear" w:color="auto" w:fill="FFFFFF"/>
            <w:tcMar>
              <w:top w:w="80" w:type="dxa"/>
              <w:left w:w="120" w:type="dxa"/>
              <w:bottom w:w="80" w:type="dxa"/>
              <w:right w:w="120" w:type="dxa"/>
            </w:tcMar>
          </w:tcPr>
          <w:p w14:paraId="53E1ABEC" w14:textId="77777777" w:rsidR="00E71309" w:rsidRDefault="00E71309" w:rsidP="009D48D1">
            <w:r>
              <w:rPr>
                <w:sz w:val="20"/>
                <w:szCs w:val="20"/>
              </w:rPr>
              <w:t>Variant-driven surge, policy-resistant</w:t>
            </w:r>
          </w:p>
        </w:tc>
      </w:tr>
      <w:tr w:rsidR="00E71309" w14:paraId="7418CC77" w14:textId="77777777" w:rsidTr="009D48D1">
        <w:tc>
          <w:tcPr>
            <w:tcW w:w="1900" w:type="dxa"/>
            <w:shd w:val="clear" w:color="auto" w:fill="FFFFFF"/>
            <w:tcMar>
              <w:top w:w="80" w:type="dxa"/>
              <w:left w:w="120" w:type="dxa"/>
              <w:bottom w:w="80" w:type="dxa"/>
              <w:right w:w="120" w:type="dxa"/>
            </w:tcMar>
          </w:tcPr>
          <w:p w14:paraId="3224E138" w14:textId="77777777" w:rsidR="00E71309" w:rsidRDefault="00E71309" w:rsidP="009D48D1">
            <w:r>
              <w:rPr>
                <w:sz w:val="20"/>
                <w:szCs w:val="20"/>
              </w:rPr>
              <w:t>Omicron wave onset</w:t>
            </w:r>
          </w:p>
        </w:tc>
        <w:tc>
          <w:tcPr>
            <w:tcW w:w="900" w:type="dxa"/>
            <w:shd w:val="clear" w:color="auto" w:fill="FFFFFF"/>
            <w:tcMar>
              <w:top w:w="80" w:type="dxa"/>
              <w:left w:w="120" w:type="dxa"/>
              <w:bottom w:w="80" w:type="dxa"/>
              <w:right w:w="120" w:type="dxa"/>
            </w:tcMar>
          </w:tcPr>
          <w:p w14:paraId="4BE0F4D0" w14:textId="77777777" w:rsidR="00E71309" w:rsidRDefault="00E71309" w:rsidP="009D48D1">
            <w:r>
              <w:rPr>
                <w:sz w:val="20"/>
                <w:szCs w:val="20"/>
              </w:rPr>
              <w:t>Dec 2021</w:t>
            </w:r>
          </w:p>
        </w:tc>
        <w:tc>
          <w:tcPr>
            <w:tcW w:w="1300" w:type="dxa"/>
            <w:shd w:val="clear" w:color="auto" w:fill="FFFFFF"/>
            <w:tcMar>
              <w:top w:w="80" w:type="dxa"/>
              <w:left w:w="120" w:type="dxa"/>
              <w:bottom w:w="80" w:type="dxa"/>
              <w:right w:w="120" w:type="dxa"/>
            </w:tcMar>
          </w:tcPr>
          <w:p w14:paraId="101CB6BE" w14:textId="77777777" w:rsidR="00E71309" w:rsidRDefault="00E71309" w:rsidP="009D48D1">
            <w:r>
              <w:rPr>
                <w:sz w:val="20"/>
                <w:szCs w:val="20"/>
              </w:rPr>
              <w:t>~14,000</w:t>
            </w:r>
          </w:p>
        </w:tc>
        <w:tc>
          <w:tcPr>
            <w:tcW w:w="1300" w:type="dxa"/>
            <w:shd w:val="clear" w:color="auto" w:fill="FFFFFF"/>
            <w:tcMar>
              <w:top w:w="80" w:type="dxa"/>
              <w:left w:w="120" w:type="dxa"/>
              <w:bottom w:w="80" w:type="dxa"/>
              <w:right w:w="120" w:type="dxa"/>
            </w:tcMar>
          </w:tcPr>
          <w:p w14:paraId="389B4F12" w14:textId="77777777" w:rsidR="00E71309" w:rsidRDefault="00E71309" w:rsidP="009D48D1">
            <w:r>
              <w:rPr>
                <w:sz w:val="20"/>
                <w:szCs w:val="20"/>
              </w:rPr>
              <w:t>~110,000</w:t>
            </w:r>
          </w:p>
        </w:tc>
        <w:tc>
          <w:tcPr>
            <w:tcW w:w="1100" w:type="dxa"/>
            <w:shd w:val="clear" w:color="auto" w:fill="FFFFFF"/>
            <w:tcMar>
              <w:top w:w="80" w:type="dxa"/>
              <w:left w:w="120" w:type="dxa"/>
              <w:bottom w:w="80" w:type="dxa"/>
              <w:right w:w="120" w:type="dxa"/>
            </w:tcMar>
          </w:tcPr>
          <w:p w14:paraId="39353A49" w14:textId="77777777" w:rsidR="00E71309" w:rsidRDefault="00E71309" w:rsidP="009D48D1">
            <w:r>
              <w:rPr>
                <w:sz w:val="20"/>
                <w:szCs w:val="20"/>
              </w:rPr>
              <w:t>UP</w:t>
            </w:r>
          </w:p>
        </w:tc>
        <w:tc>
          <w:tcPr>
            <w:tcW w:w="2860" w:type="dxa"/>
            <w:shd w:val="clear" w:color="auto" w:fill="FFFFFF"/>
            <w:tcMar>
              <w:top w:w="80" w:type="dxa"/>
              <w:left w:w="120" w:type="dxa"/>
              <w:bottom w:w="80" w:type="dxa"/>
              <w:right w:w="120" w:type="dxa"/>
            </w:tcMar>
          </w:tcPr>
          <w:p w14:paraId="4A09C6B4" w14:textId="77777777" w:rsidR="00E71309" w:rsidRDefault="00E71309" w:rsidP="009D48D1">
            <w:r>
              <w:rPr>
                <w:sz w:val="20"/>
                <w:szCs w:val="20"/>
              </w:rPr>
              <w:t>Largest case surge of entire pandemic</w:t>
            </w:r>
          </w:p>
        </w:tc>
      </w:tr>
      <w:tr w:rsidR="00E71309" w14:paraId="15E96615" w14:textId="77777777" w:rsidTr="009D48D1">
        <w:tc>
          <w:tcPr>
            <w:tcW w:w="1900" w:type="dxa"/>
            <w:shd w:val="clear" w:color="auto" w:fill="FFFFFF"/>
            <w:tcMar>
              <w:top w:w="80" w:type="dxa"/>
              <w:left w:w="120" w:type="dxa"/>
              <w:bottom w:w="80" w:type="dxa"/>
              <w:right w:w="120" w:type="dxa"/>
            </w:tcMar>
          </w:tcPr>
          <w:p w14:paraId="7668F2B4" w14:textId="77777777" w:rsidR="00E71309" w:rsidRDefault="00E71309" w:rsidP="009D48D1">
            <w:r>
              <w:rPr>
                <w:sz w:val="20"/>
                <w:szCs w:val="20"/>
              </w:rPr>
              <w:t>Most restrictions lifted</w:t>
            </w:r>
          </w:p>
        </w:tc>
        <w:tc>
          <w:tcPr>
            <w:tcW w:w="900" w:type="dxa"/>
            <w:shd w:val="clear" w:color="auto" w:fill="FFFFFF"/>
            <w:tcMar>
              <w:top w:w="80" w:type="dxa"/>
              <w:left w:w="120" w:type="dxa"/>
              <w:bottom w:w="80" w:type="dxa"/>
              <w:right w:w="120" w:type="dxa"/>
            </w:tcMar>
          </w:tcPr>
          <w:p w14:paraId="3333DECC" w14:textId="77777777" w:rsidR="00E71309" w:rsidRDefault="00E71309" w:rsidP="009D48D1">
            <w:r>
              <w:rPr>
                <w:sz w:val="20"/>
                <w:szCs w:val="20"/>
              </w:rPr>
              <w:t>Mar 2022</w:t>
            </w:r>
          </w:p>
        </w:tc>
        <w:tc>
          <w:tcPr>
            <w:tcW w:w="1300" w:type="dxa"/>
            <w:shd w:val="clear" w:color="auto" w:fill="FFFFFF"/>
            <w:tcMar>
              <w:top w:w="80" w:type="dxa"/>
              <w:left w:w="120" w:type="dxa"/>
              <w:bottom w:w="80" w:type="dxa"/>
              <w:right w:w="120" w:type="dxa"/>
            </w:tcMar>
          </w:tcPr>
          <w:p w14:paraId="67F7183E" w14:textId="77777777" w:rsidR="00E71309" w:rsidRDefault="00E71309" w:rsidP="009D48D1">
            <w:r>
              <w:rPr>
                <w:sz w:val="20"/>
                <w:szCs w:val="20"/>
              </w:rPr>
              <w:t>~38,000</w:t>
            </w:r>
          </w:p>
        </w:tc>
        <w:tc>
          <w:tcPr>
            <w:tcW w:w="1300" w:type="dxa"/>
            <w:shd w:val="clear" w:color="auto" w:fill="FFFFFF"/>
            <w:tcMar>
              <w:top w:w="80" w:type="dxa"/>
              <w:left w:w="120" w:type="dxa"/>
              <w:bottom w:w="80" w:type="dxa"/>
              <w:right w:w="120" w:type="dxa"/>
            </w:tcMar>
          </w:tcPr>
          <w:p w14:paraId="0D69DE17" w14:textId="77777777" w:rsidR="00E71309" w:rsidRDefault="00E71309" w:rsidP="009D48D1">
            <w:r>
              <w:rPr>
                <w:sz w:val="20"/>
                <w:szCs w:val="20"/>
              </w:rPr>
              <w:t>~11,000</w:t>
            </w:r>
          </w:p>
        </w:tc>
        <w:tc>
          <w:tcPr>
            <w:tcW w:w="1100" w:type="dxa"/>
            <w:shd w:val="clear" w:color="auto" w:fill="FFFFFF"/>
            <w:tcMar>
              <w:top w:w="80" w:type="dxa"/>
              <w:left w:w="120" w:type="dxa"/>
              <w:bottom w:w="80" w:type="dxa"/>
              <w:right w:w="120" w:type="dxa"/>
            </w:tcMar>
          </w:tcPr>
          <w:p w14:paraId="3179CA7C" w14:textId="77777777" w:rsidR="00E71309" w:rsidRDefault="00E71309" w:rsidP="009D48D1">
            <w:r>
              <w:rPr>
                <w:sz w:val="20"/>
                <w:szCs w:val="20"/>
              </w:rPr>
              <w:t xml:space="preserve"> DOWN</w:t>
            </w:r>
          </w:p>
        </w:tc>
        <w:tc>
          <w:tcPr>
            <w:tcW w:w="2860" w:type="dxa"/>
            <w:shd w:val="clear" w:color="auto" w:fill="FFFFFF"/>
            <w:tcMar>
              <w:top w:w="80" w:type="dxa"/>
              <w:left w:w="120" w:type="dxa"/>
              <w:bottom w:w="80" w:type="dxa"/>
              <w:right w:w="120" w:type="dxa"/>
            </w:tcMar>
          </w:tcPr>
          <w:p w14:paraId="2859BE61" w14:textId="77777777" w:rsidR="00E71309" w:rsidRDefault="00E71309" w:rsidP="009D48D1">
            <w:r>
              <w:rPr>
                <w:sz w:val="20"/>
                <w:szCs w:val="20"/>
              </w:rPr>
              <w:t>Cases already declining; no visible rebound</w:t>
            </w:r>
          </w:p>
        </w:tc>
      </w:tr>
    </w:tbl>
    <w:p w14:paraId="35FDFB1D" w14:textId="77777777" w:rsidR="00E71309" w:rsidRDefault="00E71309" w:rsidP="00E71309">
      <w:pPr>
        <w:spacing w:before="80"/>
      </w:pPr>
    </w:p>
    <w:p w14:paraId="6B9745F3" w14:textId="77777777" w:rsidR="00766D2B" w:rsidRDefault="00766D2B">
      <w:pPr>
        <w:spacing w:before="60" w:after="60"/>
      </w:pPr>
    </w:p>
    <w:p w14:paraId="256360E2" w14:textId="77777777" w:rsidR="00E71309" w:rsidRDefault="00E71309">
      <w:pPr>
        <w:spacing w:before="60" w:after="60"/>
      </w:pPr>
    </w:p>
    <w:p w14:paraId="70887D43" w14:textId="77777777" w:rsidR="00E71309" w:rsidRDefault="00E71309">
      <w:pPr>
        <w:spacing w:before="60" w:after="60"/>
      </w:pPr>
    </w:p>
    <w:p w14:paraId="3F3A7843" w14:textId="77777777" w:rsidR="00E71309" w:rsidRDefault="00E71309">
      <w:pPr>
        <w:spacing w:before="60" w:after="60"/>
      </w:pPr>
    </w:p>
    <w:p w14:paraId="4124852C" w14:textId="77777777" w:rsidR="00E71309" w:rsidRDefault="00E71309">
      <w:pPr>
        <w:spacing w:before="60" w:after="60"/>
      </w:pPr>
    </w:p>
    <w:p w14:paraId="3115B2DD" w14:textId="77777777" w:rsidR="00E71309" w:rsidRDefault="00E71309">
      <w:pPr>
        <w:spacing w:before="60" w:after="60"/>
      </w:pPr>
    </w:p>
    <w:p w14:paraId="287BA5DF" w14:textId="77777777" w:rsidR="00E71309" w:rsidRDefault="00E71309" w:rsidP="00E71309">
      <w:pPr>
        <w:pStyle w:val="Heading2"/>
        <w:pBdr>
          <w:bottom w:val="single" w:sz="4" w:space="4" w:color="2E75B6"/>
        </w:pBdr>
      </w:pPr>
      <w:r>
        <w:lastRenderedPageBreak/>
        <w:t>6.4 Summary Dashboard</w:t>
      </w:r>
    </w:p>
    <w:p w14:paraId="2A9730D5" w14:textId="77777777" w:rsidR="00E71309" w:rsidRDefault="00E71309" w:rsidP="00E71309">
      <w:pPr>
        <w:spacing w:before="80"/>
      </w:pPr>
    </w:p>
    <w:p w14:paraId="05392689" w14:textId="77777777" w:rsidR="00E71309" w:rsidRDefault="00E71309" w:rsidP="00E71309">
      <w:pPr>
        <w:spacing w:before="60" w:after="60"/>
      </w:pPr>
      <w:r>
        <w:rPr>
          <w:color w:val="333333"/>
        </w:rPr>
        <w:t>The dashboard below consolidates the most important state-level metrics into a single view: total case and death burden per state, case fatality rate comparison, and the full combined daily new-case timeline with the pandemic peak and all seven policy milestones marked.</w:t>
      </w:r>
    </w:p>
    <w:p w14:paraId="7C88105C" w14:textId="77777777" w:rsidR="00E71309" w:rsidRDefault="00E71309" w:rsidP="00E71309">
      <w:pPr>
        <w:spacing w:before="80"/>
      </w:pPr>
    </w:p>
    <w:p w14:paraId="0AE89B47" w14:textId="77777777" w:rsidR="00E71309" w:rsidRDefault="00E71309" w:rsidP="00E71309">
      <w:pPr>
        <w:spacing w:before="120" w:after="80"/>
        <w:jc w:val="center"/>
      </w:pPr>
      <w:r>
        <w:rPr>
          <w:noProof/>
        </w:rPr>
        <w:drawing>
          <wp:inline distT="0" distB="0" distL="0" distR="0" wp14:anchorId="26FD0222" wp14:editId="1D47E96C">
            <wp:extent cx="6400800" cy="3970595"/>
            <wp:effectExtent l="0" t="0" r="0" b="0"/>
            <wp:docPr id="27" name="Picture 27" descr="C:\Users\User\AppData\Local\Microsoft\Windows\INetCache\Content.MSO\8BBE45F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User\AppData\Local\Microsoft\Windows\INetCache\Content.MSO\8BBE45FE.tmp"/>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400800" cy="3970595"/>
                    </a:xfrm>
                    <a:prstGeom prst="rect">
                      <a:avLst/>
                    </a:prstGeom>
                    <a:noFill/>
                    <a:ln>
                      <a:noFill/>
                    </a:ln>
                  </pic:spPr>
                </pic:pic>
              </a:graphicData>
            </a:graphic>
          </wp:inline>
        </w:drawing>
      </w:r>
    </w:p>
    <w:p w14:paraId="18999E08" w14:textId="77777777" w:rsidR="00E71309" w:rsidRDefault="00E71309" w:rsidP="00E71309">
      <w:pPr>
        <w:spacing w:before="40" w:after="120"/>
        <w:jc w:val="center"/>
      </w:pPr>
      <w:r>
        <w:rPr>
          <w:i/>
          <w:iCs/>
          <w:color w:val="666666"/>
          <w:sz w:val="18"/>
          <w:szCs w:val="18"/>
        </w:rPr>
        <w:t>Figure 23 — Section 6 Summary Dashboard — Cases, Deaths, CFR, and Full Timeline with Policy Events</w:t>
      </w:r>
    </w:p>
    <w:p w14:paraId="585044F7" w14:textId="77777777" w:rsidR="00E71309" w:rsidRDefault="00E71309" w:rsidP="00E71309">
      <w:pPr>
        <w:spacing w:before="80"/>
      </w:pPr>
    </w:p>
    <w:p w14:paraId="1A728A14" w14:textId="77777777" w:rsidR="00E71309" w:rsidRDefault="00E71309" w:rsidP="00E71309">
      <w:pPr>
        <w:pStyle w:val="Heading2"/>
        <w:pBdr>
          <w:bottom w:val="single" w:sz="4" w:space="4" w:color="2E75B6"/>
        </w:pBdr>
      </w:pPr>
      <w:r>
        <w:t>6.5 Summary of Key Insights</w:t>
      </w:r>
    </w:p>
    <w:p w14:paraId="3727ECA5" w14:textId="77777777" w:rsidR="00E71309" w:rsidRDefault="00E71309" w:rsidP="00E71309">
      <w:pPr>
        <w:spacing w:before="80"/>
      </w:pPr>
    </w:p>
    <w:p w14:paraId="11AE4572" w14:textId="77777777" w:rsidR="00E71309" w:rsidRDefault="00E71309" w:rsidP="00E71309">
      <w:pPr>
        <w:spacing w:before="60" w:after="60"/>
      </w:pPr>
      <w:r>
        <w:rPr>
          <w:b/>
          <w:bCs/>
          <w:color w:val="1F497D"/>
        </w:rPr>
        <w:t>Insight 1 — Geographic Concentration</w:t>
      </w:r>
    </w:p>
    <w:p w14:paraId="65AACF2C" w14:textId="77777777" w:rsidR="00E71309" w:rsidRDefault="00E71309" w:rsidP="00E71309">
      <w:pPr>
        <w:numPr>
          <w:ilvl w:val="0"/>
          <w:numId w:val="4"/>
        </w:numPr>
        <w:spacing w:before="40" w:after="40"/>
      </w:pPr>
      <w:r>
        <w:rPr>
          <w:color w:val="333333"/>
        </w:rPr>
        <w:t>The top 10 counties account for a disproportionate share of total cases, all located in major metropolitan areas.</w:t>
      </w:r>
    </w:p>
    <w:p w14:paraId="64DAC3FE" w14:textId="77777777" w:rsidR="00E71309" w:rsidRDefault="00E71309" w:rsidP="00E71309">
      <w:pPr>
        <w:numPr>
          <w:ilvl w:val="0"/>
          <w:numId w:val="4"/>
        </w:numPr>
        <w:spacing w:before="40" w:after="40"/>
      </w:pPr>
      <w:r>
        <w:rPr>
          <w:color w:val="333333"/>
        </w:rPr>
        <w:t>Urban density, public transit usage, and population size are the primary structural drivers of county-level case burden.</w:t>
      </w:r>
    </w:p>
    <w:p w14:paraId="379DCE87" w14:textId="77777777" w:rsidR="00E71309" w:rsidRDefault="00E71309" w:rsidP="00E71309">
      <w:pPr>
        <w:numPr>
          <w:ilvl w:val="0"/>
          <w:numId w:val="4"/>
        </w:numPr>
        <w:spacing w:before="40" w:after="40"/>
      </w:pPr>
      <w:r>
        <w:rPr>
          <w:color w:val="333333"/>
        </w:rPr>
        <w:t>California, Texas, and Florida alone account for more than 28% of total national case counts across the study period.</w:t>
      </w:r>
    </w:p>
    <w:p w14:paraId="3C08D00F" w14:textId="77777777" w:rsidR="00E71309" w:rsidRDefault="00E71309" w:rsidP="00E71309">
      <w:pPr>
        <w:spacing w:before="80"/>
      </w:pPr>
    </w:p>
    <w:p w14:paraId="3922A013" w14:textId="77777777" w:rsidR="00E71309" w:rsidRDefault="00E71309" w:rsidP="00E71309">
      <w:pPr>
        <w:spacing w:before="60" w:after="60"/>
      </w:pPr>
      <w:r>
        <w:rPr>
          <w:b/>
          <w:bCs/>
          <w:color w:val="1F497D"/>
        </w:rPr>
        <w:t>Insight 2 — Wave Structure and Variant Dynamics</w:t>
      </w:r>
    </w:p>
    <w:p w14:paraId="0063BD77" w14:textId="77777777" w:rsidR="00E71309" w:rsidRDefault="00E71309" w:rsidP="00E71309">
      <w:pPr>
        <w:numPr>
          <w:ilvl w:val="0"/>
          <w:numId w:val="4"/>
        </w:numPr>
        <w:spacing w:before="40" w:after="40"/>
      </w:pPr>
      <w:r>
        <w:rPr>
          <w:color w:val="333333"/>
        </w:rPr>
        <w:t>Three distinct national waves are identifiable: Summer 2020 (initial spread), Winter 2020–21 (Alpha, most deadly), and Winter 2021–22 (Omicron, highest case volume).</w:t>
      </w:r>
    </w:p>
    <w:p w14:paraId="0D68396D" w14:textId="77777777" w:rsidR="00E71309" w:rsidRDefault="00E71309" w:rsidP="00E71309">
      <w:pPr>
        <w:numPr>
          <w:ilvl w:val="0"/>
          <w:numId w:val="4"/>
        </w:numPr>
        <w:spacing w:before="40" w:after="40"/>
      </w:pPr>
      <w:r>
        <w:rPr>
          <w:color w:val="333333"/>
        </w:rPr>
        <w:lastRenderedPageBreak/>
        <w:t xml:space="preserve">Omicron produced 3–4× more cases per day than prior waves but with a </w:t>
      </w:r>
      <w:proofErr w:type="gramStart"/>
      <w:r>
        <w:rPr>
          <w:color w:val="333333"/>
        </w:rPr>
        <w:t>lower case</w:t>
      </w:r>
      <w:proofErr w:type="gramEnd"/>
      <w:r>
        <w:rPr>
          <w:color w:val="333333"/>
        </w:rPr>
        <w:t xml:space="preserve"> fatality rate, reflecting population immunity and viral evolution.</w:t>
      </w:r>
    </w:p>
    <w:p w14:paraId="726FD11B" w14:textId="77777777" w:rsidR="00E71309" w:rsidRDefault="00E71309" w:rsidP="00E71309">
      <w:pPr>
        <w:numPr>
          <w:ilvl w:val="0"/>
          <w:numId w:val="4"/>
        </w:numPr>
        <w:spacing w:before="40" w:after="40"/>
      </w:pPr>
      <w:r>
        <w:rPr>
          <w:color w:val="333333"/>
        </w:rPr>
        <w:t>Delta and Omicron surges were policy-resistant: they emerged despite restrictions being in place, underscoring the primacy of variant biology over non-pharmaceutical interventions in the late pandemic.</w:t>
      </w:r>
    </w:p>
    <w:p w14:paraId="46B5DE18" w14:textId="77777777" w:rsidR="00E71309" w:rsidRDefault="00E71309" w:rsidP="00E71309">
      <w:pPr>
        <w:spacing w:before="80"/>
      </w:pPr>
    </w:p>
    <w:p w14:paraId="4A161051" w14:textId="77777777" w:rsidR="00E71309" w:rsidRDefault="00E71309" w:rsidP="00E71309">
      <w:pPr>
        <w:spacing w:before="60" w:after="60"/>
      </w:pPr>
      <w:r>
        <w:rPr>
          <w:b/>
          <w:bCs/>
          <w:color w:val="1F497D"/>
        </w:rPr>
        <w:t>Insight 3 — Model Performance Comparison</w:t>
      </w:r>
    </w:p>
    <w:p w14:paraId="4B7CC5D9" w14:textId="77777777" w:rsidR="00E71309" w:rsidRDefault="00E71309" w:rsidP="00E71309">
      <w:pPr>
        <w:numPr>
          <w:ilvl w:val="0"/>
          <w:numId w:val="4"/>
        </w:numPr>
        <w:spacing w:before="40" w:after="40"/>
      </w:pPr>
      <w:r>
        <w:rPr>
          <w:color w:val="333333"/>
        </w:rPr>
        <w:t>LSTM outperformed ARIMA in raw accuracy (MAE: 6,009 vs 9,959), capturing non-linear patterns that ARIMA cannot represent.</w:t>
      </w:r>
    </w:p>
    <w:p w14:paraId="0CBEE82F" w14:textId="77777777" w:rsidR="00E71309" w:rsidRDefault="00E71309" w:rsidP="00E71309">
      <w:pPr>
        <w:numPr>
          <w:ilvl w:val="0"/>
          <w:numId w:val="4"/>
        </w:numPr>
        <w:spacing w:before="40" w:after="40"/>
      </w:pPr>
      <w:r>
        <w:rPr>
          <w:color w:val="333333"/>
        </w:rPr>
        <w:t>ARIMA remains valuable for policy communication due to its interpretability and native confidence interval generation.</w:t>
      </w:r>
    </w:p>
    <w:p w14:paraId="12DDF818" w14:textId="77777777" w:rsidR="00E71309" w:rsidRDefault="00E71309" w:rsidP="00E71309">
      <w:pPr>
        <w:numPr>
          <w:ilvl w:val="0"/>
          <w:numId w:val="4"/>
        </w:numPr>
        <w:spacing w:before="40" w:after="40"/>
      </w:pPr>
      <w:r>
        <w:rPr>
          <w:color w:val="333333"/>
        </w:rPr>
        <w:t>Neither model incorporates external covariates; this is the primary limitation for causal inference and variant-driven surge prediction.</w:t>
      </w:r>
    </w:p>
    <w:p w14:paraId="688359DA" w14:textId="77777777" w:rsidR="00E71309" w:rsidRDefault="00E71309" w:rsidP="00E71309">
      <w:pPr>
        <w:spacing w:before="80"/>
      </w:pPr>
    </w:p>
    <w:p w14:paraId="121AF5B0" w14:textId="77777777" w:rsidR="00E71309" w:rsidRDefault="00E71309" w:rsidP="00E71309">
      <w:pPr>
        <w:spacing w:before="60" w:after="60"/>
      </w:pPr>
      <w:r>
        <w:rPr>
          <w:b/>
          <w:bCs/>
          <w:color w:val="1F497D"/>
        </w:rPr>
        <w:t>Insight 4 — Vaccination Impact on Fatality</w:t>
      </w:r>
    </w:p>
    <w:p w14:paraId="2F500D39" w14:textId="77777777" w:rsidR="00E71309" w:rsidRDefault="00E71309" w:rsidP="00E71309">
      <w:pPr>
        <w:numPr>
          <w:ilvl w:val="0"/>
          <w:numId w:val="4"/>
        </w:numPr>
        <w:spacing w:before="40" w:after="40"/>
      </w:pPr>
      <w:r>
        <w:rPr>
          <w:color w:val="333333"/>
        </w:rPr>
        <w:t>The sharpest sustained declines in daily deaths across all five states followed the February–March 2021 vaccine rollout.</w:t>
      </w:r>
    </w:p>
    <w:p w14:paraId="2D180499" w14:textId="77777777" w:rsidR="00E71309" w:rsidRDefault="00E71309" w:rsidP="00E71309">
      <w:pPr>
        <w:numPr>
          <w:ilvl w:val="0"/>
          <w:numId w:val="4"/>
        </w:numPr>
        <w:spacing w:before="40" w:after="40"/>
      </w:pPr>
      <w:r>
        <w:rPr>
          <w:color w:val="333333"/>
        </w:rPr>
        <w:t>This correlation strongly supports the causal role of vaccination in reducing fatality rates, even without a formal causal model.</w:t>
      </w:r>
    </w:p>
    <w:p w14:paraId="0D75209A" w14:textId="77777777" w:rsidR="00E71309" w:rsidRDefault="00E71309" w:rsidP="00E71309">
      <w:pPr>
        <w:numPr>
          <w:ilvl w:val="0"/>
          <w:numId w:val="4"/>
        </w:numPr>
        <w:spacing w:before="40" w:after="40"/>
      </w:pPr>
      <w:r>
        <w:rPr>
          <w:color w:val="333333"/>
        </w:rPr>
        <w:t>Despite the Omicron surge producing the highest ever daily case counts, daily deaths did not return to their Winter 2020–21 peak, a direct consequence of vaccine-mediated immunity.</w:t>
      </w:r>
    </w:p>
    <w:p w14:paraId="61705E34" w14:textId="77777777" w:rsidR="00E71309" w:rsidRDefault="00E71309" w:rsidP="00E71309">
      <w:pPr>
        <w:spacing w:before="80"/>
      </w:pPr>
    </w:p>
    <w:p w14:paraId="2EDADBD1" w14:textId="77777777" w:rsidR="00E71309" w:rsidRDefault="00E71309" w:rsidP="00E71309">
      <w:pPr>
        <w:spacing w:before="60" w:after="60"/>
      </w:pPr>
      <w:r>
        <w:rPr>
          <w:b/>
          <w:bCs/>
          <w:color w:val="1F497D"/>
        </w:rPr>
        <w:t>Insight 5 — Forecasting Reliability and Limitations</w:t>
      </w:r>
    </w:p>
    <w:p w14:paraId="1D2F9C1F" w14:textId="77777777" w:rsidR="00E71309" w:rsidRDefault="00E71309" w:rsidP="00E71309">
      <w:pPr>
        <w:numPr>
          <w:ilvl w:val="0"/>
          <w:numId w:val="4"/>
        </w:numPr>
        <w:spacing w:before="40" w:after="40"/>
      </w:pPr>
      <w:r>
        <w:rPr>
          <w:color w:val="333333"/>
        </w:rPr>
        <w:t>ARIMA forecasts beyond 30 days have wide confidence intervals that encompass both continued decline and new surges.</w:t>
      </w:r>
    </w:p>
    <w:p w14:paraId="468517C5" w14:textId="77777777" w:rsidR="00E71309" w:rsidRDefault="00E71309" w:rsidP="00E71309">
      <w:pPr>
        <w:numPr>
          <w:ilvl w:val="0"/>
          <w:numId w:val="4"/>
        </w:numPr>
        <w:spacing w:before="40" w:after="40"/>
      </w:pPr>
      <w:r>
        <w:rPr>
          <w:color w:val="333333"/>
        </w:rPr>
        <w:t>The 30-day ARIMA forecasts for all five states project a continued slow decline consistent with the late-pandemic trend as of March 2023.</w:t>
      </w:r>
    </w:p>
    <w:p w14:paraId="7AEDB77B" w14:textId="77777777" w:rsidR="00E71309" w:rsidRDefault="00E71309" w:rsidP="00E71309">
      <w:pPr>
        <w:numPr>
          <w:ilvl w:val="0"/>
          <w:numId w:val="4"/>
        </w:numPr>
        <w:spacing w:before="40" w:after="40"/>
      </w:pPr>
      <w:r>
        <w:rPr>
          <w:color w:val="333333"/>
        </w:rPr>
        <w:t>Accurate medium-term forecasting requires incorporating variant surveillance data, vaccination rates, and mobility as external inputs to the model.</w:t>
      </w:r>
    </w:p>
    <w:p w14:paraId="0CA4DE80" w14:textId="77777777" w:rsidR="00E71309" w:rsidRDefault="00E71309" w:rsidP="00E71309">
      <w:pPr>
        <w:spacing w:before="80"/>
      </w:pPr>
    </w:p>
    <w:p w14:paraId="2BF88EDF" w14:textId="77777777" w:rsidR="00E71309" w:rsidRDefault="00E71309">
      <w:pPr>
        <w:spacing w:before="60" w:after="60"/>
      </w:pPr>
    </w:p>
    <w:p w14:paraId="798DC797" w14:textId="77777777" w:rsidR="00766D2B" w:rsidRDefault="00766D2B">
      <w:pPr>
        <w:spacing w:before="60" w:after="60"/>
      </w:pPr>
    </w:p>
    <w:p w14:paraId="16149CEE" w14:textId="77777777" w:rsidR="000F4918" w:rsidRDefault="000F4918">
      <w:pPr>
        <w:spacing w:before="60" w:after="60"/>
      </w:pPr>
    </w:p>
    <w:p w14:paraId="1BE8027B" w14:textId="77777777" w:rsidR="000F4918" w:rsidRDefault="000F4918">
      <w:pPr>
        <w:spacing w:before="60" w:after="60"/>
      </w:pPr>
    </w:p>
    <w:p w14:paraId="48257F22" w14:textId="77777777" w:rsidR="000F4918" w:rsidRDefault="000F4918">
      <w:pPr>
        <w:spacing w:before="60" w:after="60"/>
      </w:pPr>
    </w:p>
    <w:p w14:paraId="2D2967F6" w14:textId="77777777" w:rsidR="000F4918" w:rsidRDefault="000F4918">
      <w:pPr>
        <w:spacing w:before="60" w:after="60"/>
      </w:pPr>
    </w:p>
    <w:p w14:paraId="39DE7F54" w14:textId="77777777" w:rsidR="000F4918" w:rsidRDefault="000F4918">
      <w:pPr>
        <w:spacing w:before="60" w:after="60"/>
      </w:pPr>
    </w:p>
    <w:p w14:paraId="2BE8F8B3" w14:textId="77777777" w:rsidR="000F4918" w:rsidRDefault="000F4918">
      <w:pPr>
        <w:spacing w:before="60" w:after="60"/>
      </w:pPr>
    </w:p>
    <w:p w14:paraId="5D6D06F5" w14:textId="77777777" w:rsidR="000F4918" w:rsidRDefault="000F4918">
      <w:pPr>
        <w:spacing w:before="60" w:after="60"/>
      </w:pPr>
    </w:p>
    <w:p w14:paraId="2AB5A936" w14:textId="77777777" w:rsidR="000F4918" w:rsidRDefault="000F4918">
      <w:pPr>
        <w:spacing w:before="60" w:after="60"/>
      </w:pPr>
    </w:p>
    <w:p w14:paraId="46910A18" w14:textId="77777777" w:rsidR="000F4918" w:rsidRDefault="000F4918">
      <w:pPr>
        <w:spacing w:before="60" w:after="60"/>
      </w:pPr>
    </w:p>
    <w:p w14:paraId="55E5659E" w14:textId="77777777" w:rsidR="000F4918" w:rsidRDefault="000F4918">
      <w:pPr>
        <w:spacing w:before="60" w:after="60"/>
      </w:pPr>
    </w:p>
    <w:p w14:paraId="0B740970" w14:textId="77777777" w:rsidR="000F4918" w:rsidRDefault="000F4918">
      <w:pPr>
        <w:spacing w:before="60" w:after="60"/>
      </w:pPr>
    </w:p>
    <w:p w14:paraId="36DFA3B0" w14:textId="77777777" w:rsidR="000F4918" w:rsidRDefault="000F4918">
      <w:pPr>
        <w:spacing w:before="60" w:after="60"/>
      </w:pPr>
    </w:p>
    <w:p w14:paraId="1605740A" w14:textId="77777777" w:rsidR="000F4918" w:rsidRDefault="000F4918">
      <w:pPr>
        <w:spacing w:before="60" w:after="60"/>
      </w:pPr>
    </w:p>
    <w:p w14:paraId="6B553533" w14:textId="77777777" w:rsidR="000F4918" w:rsidRDefault="000F4918">
      <w:pPr>
        <w:spacing w:before="60" w:after="60"/>
      </w:pPr>
    </w:p>
    <w:p w14:paraId="3792B083" w14:textId="77777777" w:rsidR="000F4918" w:rsidRDefault="000F4918">
      <w:pPr>
        <w:spacing w:before="60" w:after="60"/>
      </w:pPr>
    </w:p>
    <w:p w14:paraId="6933345C" w14:textId="77777777" w:rsidR="000F4918" w:rsidRDefault="000F4918" w:rsidP="000F4918">
      <w:pPr>
        <w:pStyle w:val="Heading1"/>
      </w:pPr>
      <w:r>
        <w:t>7. Policy Recommendations</w:t>
      </w:r>
    </w:p>
    <w:p w14:paraId="6C6C97D1" w14:textId="77777777" w:rsidR="000F4918" w:rsidRDefault="000F4918" w:rsidP="000F4918">
      <w:pPr>
        <w:spacing w:before="60" w:after="60"/>
      </w:pPr>
      <w:r>
        <w:t>Based on the analytical findings, the following five evidence-based policy recommendations are proposed for public health authorities and pandemic preparedness planners:</w:t>
      </w:r>
    </w:p>
    <w:p w14:paraId="1D092A6F" w14:textId="77777777" w:rsidR="000F4918" w:rsidRDefault="000F4918" w:rsidP="000F491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0F4918" w14:paraId="6748748E" w14:textId="77777777">
        <w:tc>
          <w:tcPr>
            <w:tcW w:w="640" w:type="dxa"/>
            <w:tcBorders>
              <w:top w:val="single" w:sz="2" w:space="0" w:color="CCCCCC"/>
              <w:left w:val="single" w:sz="2" w:space="0" w:color="CCCCCC"/>
              <w:bottom w:val="single" w:sz="2" w:space="0" w:color="CCCCCC"/>
              <w:right w:val="nil"/>
            </w:tcBorders>
            <w:shd w:val="clear" w:color="auto" w:fill="2E75B6"/>
            <w:tcMar>
              <w:top w:w="120" w:type="dxa"/>
              <w:left w:w="120" w:type="dxa"/>
              <w:bottom w:w="120" w:type="dxa"/>
              <w:right w:w="80" w:type="dxa"/>
            </w:tcMar>
            <w:vAlign w:val="center"/>
            <w:hideMark/>
          </w:tcPr>
          <w:p w14:paraId="03ADA165" w14:textId="77777777" w:rsidR="000F4918" w:rsidRDefault="000F4918">
            <w:pPr>
              <w:jc w:val="center"/>
            </w:pPr>
            <w:r>
              <w:rPr>
                <w:b/>
                <w:bCs/>
                <w:color w:val="FFFFFF"/>
                <w:sz w:val="32"/>
                <w:szCs w:val="32"/>
              </w:rPr>
              <w:t>1</w:t>
            </w:r>
          </w:p>
        </w:tc>
        <w:tc>
          <w:tcPr>
            <w:tcW w:w="8720" w:type="dxa"/>
            <w:tcBorders>
              <w:top w:val="single" w:sz="2" w:space="0" w:color="CCCCCC"/>
              <w:left w:val="nil"/>
              <w:bottom w:val="single" w:sz="2" w:space="0" w:color="CCCCCC"/>
              <w:right w:val="single" w:sz="2" w:space="0" w:color="CCCCCC"/>
            </w:tcBorders>
            <w:shd w:val="clear" w:color="auto" w:fill="D9E2F3"/>
            <w:tcMar>
              <w:top w:w="100" w:type="dxa"/>
              <w:left w:w="160" w:type="dxa"/>
              <w:bottom w:w="100" w:type="dxa"/>
              <w:right w:w="160" w:type="dxa"/>
            </w:tcMar>
            <w:hideMark/>
          </w:tcPr>
          <w:p w14:paraId="37155497" w14:textId="77777777" w:rsidR="000F4918" w:rsidRDefault="000F4918">
            <w:pPr>
              <w:spacing w:after="40"/>
            </w:pPr>
            <w:r>
              <w:rPr>
                <w:b/>
                <w:bCs/>
                <w:color w:val="1F497D"/>
              </w:rPr>
              <w:t>Targeted County-Level Surge Response</w:t>
            </w:r>
          </w:p>
          <w:p w14:paraId="485B07D6" w14:textId="77777777" w:rsidR="000F4918" w:rsidRDefault="000F4918">
            <w:r>
              <w:rPr>
                <w:sz w:val="20"/>
                <w:szCs w:val="20"/>
              </w:rPr>
              <w:t>Resources, testing capacity, and healthcare surge plans should be pre-positioned in the top-burden counties (Los Angeles, Miami-Dade, Cook, Harris, Maricopa). Historical data confirms these metropolitan hubs consistently drive national case counts across all wave types. Early and aggressive intervention in these nodes would yield outsized national impact compared to uniform state-level policies.</w:t>
            </w:r>
          </w:p>
        </w:tc>
      </w:tr>
    </w:tbl>
    <w:p w14:paraId="61AC674A" w14:textId="77777777" w:rsidR="000F4918" w:rsidRDefault="000F4918" w:rsidP="000F491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0F4918" w14:paraId="7E041A78" w14:textId="77777777">
        <w:tc>
          <w:tcPr>
            <w:tcW w:w="640" w:type="dxa"/>
            <w:tcBorders>
              <w:top w:val="single" w:sz="2" w:space="0" w:color="CCCCCC"/>
              <w:left w:val="single" w:sz="2" w:space="0" w:color="CCCCCC"/>
              <w:bottom w:val="single" w:sz="2" w:space="0" w:color="CCCCCC"/>
              <w:right w:val="nil"/>
            </w:tcBorders>
            <w:shd w:val="clear" w:color="auto" w:fill="2E75B6"/>
            <w:tcMar>
              <w:top w:w="120" w:type="dxa"/>
              <w:left w:w="120" w:type="dxa"/>
              <w:bottom w:w="120" w:type="dxa"/>
              <w:right w:w="80" w:type="dxa"/>
            </w:tcMar>
            <w:vAlign w:val="center"/>
            <w:hideMark/>
          </w:tcPr>
          <w:p w14:paraId="2E037DD1" w14:textId="77777777" w:rsidR="000F4918" w:rsidRDefault="000F4918">
            <w:pPr>
              <w:jc w:val="center"/>
            </w:pPr>
            <w:r>
              <w:rPr>
                <w:b/>
                <w:bCs/>
                <w:color w:val="FFFFFF"/>
                <w:sz w:val="32"/>
                <w:szCs w:val="32"/>
              </w:rPr>
              <w:t>2</w:t>
            </w:r>
          </w:p>
        </w:tc>
        <w:tc>
          <w:tcPr>
            <w:tcW w:w="8720" w:type="dxa"/>
            <w:tcBorders>
              <w:top w:val="single" w:sz="2" w:space="0" w:color="CCCCCC"/>
              <w:left w:val="nil"/>
              <w:bottom w:val="single" w:sz="2" w:space="0" w:color="CCCCCC"/>
              <w:right w:val="single" w:sz="2" w:space="0" w:color="CCCCCC"/>
            </w:tcBorders>
            <w:shd w:val="clear" w:color="auto" w:fill="D9E2F3"/>
            <w:tcMar>
              <w:top w:w="100" w:type="dxa"/>
              <w:left w:w="160" w:type="dxa"/>
              <w:bottom w:w="100" w:type="dxa"/>
              <w:right w:w="160" w:type="dxa"/>
            </w:tcMar>
            <w:hideMark/>
          </w:tcPr>
          <w:p w14:paraId="56FE7F09" w14:textId="77777777" w:rsidR="000F4918" w:rsidRDefault="000F4918">
            <w:pPr>
              <w:spacing w:after="40"/>
            </w:pPr>
            <w:r>
              <w:rPr>
                <w:b/>
                <w:bCs/>
                <w:color w:val="1F497D"/>
              </w:rPr>
              <w:t>Seasonal Preparedness: Q4 ICU Surge Capacity</w:t>
            </w:r>
          </w:p>
          <w:p w14:paraId="7C5C5A60" w14:textId="77777777" w:rsidR="000F4918" w:rsidRDefault="000F4918">
            <w:r>
              <w:rPr>
                <w:sz w:val="20"/>
                <w:szCs w:val="20"/>
              </w:rPr>
              <w:t>The deadliest period across four of five states was December 2020 – January 2021. Health systems should begin expanding ICU capacity, staffing reserves, and PPE stockpiles in Q3 of each year, in anticipation of winter respiratory disease surges. Vaccination campaigns should prioritise high-risk populations in October–November to maximise protection before the peak season.</w:t>
            </w:r>
          </w:p>
        </w:tc>
      </w:tr>
    </w:tbl>
    <w:p w14:paraId="7E7868B3" w14:textId="77777777" w:rsidR="000F4918" w:rsidRDefault="000F4918" w:rsidP="000F491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0F4918" w14:paraId="432F6B1E" w14:textId="77777777">
        <w:tc>
          <w:tcPr>
            <w:tcW w:w="640" w:type="dxa"/>
            <w:tcBorders>
              <w:top w:val="single" w:sz="2" w:space="0" w:color="CCCCCC"/>
              <w:left w:val="single" w:sz="2" w:space="0" w:color="CCCCCC"/>
              <w:bottom w:val="single" w:sz="2" w:space="0" w:color="CCCCCC"/>
              <w:right w:val="nil"/>
            </w:tcBorders>
            <w:shd w:val="clear" w:color="auto" w:fill="2E75B6"/>
            <w:tcMar>
              <w:top w:w="120" w:type="dxa"/>
              <w:left w:w="120" w:type="dxa"/>
              <w:bottom w:w="120" w:type="dxa"/>
              <w:right w:w="80" w:type="dxa"/>
            </w:tcMar>
            <w:vAlign w:val="center"/>
            <w:hideMark/>
          </w:tcPr>
          <w:p w14:paraId="6C5585A6" w14:textId="77777777" w:rsidR="000F4918" w:rsidRDefault="000F4918">
            <w:pPr>
              <w:jc w:val="center"/>
            </w:pPr>
            <w:r>
              <w:rPr>
                <w:b/>
                <w:bCs/>
                <w:color w:val="FFFFFF"/>
                <w:sz w:val="32"/>
                <w:szCs w:val="32"/>
              </w:rPr>
              <w:t>3</w:t>
            </w:r>
          </w:p>
        </w:tc>
        <w:tc>
          <w:tcPr>
            <w:tcW w:w="8720" w:type="dxa"/>
            <w:tcBorders>
              <w:top w:val="single" w:sz="2" w:space="0" w:color="CCCCCC"/>
              <w:left w:val="nil"/>
              <w:bottom w:val="single" w:sz="2" w:space="0" w:color="CCCCCC"/>
              <w:right w:val="single" w:sz="2" w:space="0" w:color="CCCCCC"/>
            </w:tcBorders>
            <w:shd w:val="clear" w:color="auto" w:fill="D9E2F3"/>
            <w:tcMar>
              <w:top w:w="100" w:type="dxa"/>
              <w:left w:w="160" w:type="dxa"/>
              <w:bottom w:w="100" w:type="dxa"/>
              <w:right w:w="160" w:type="dxa"/>
            </w:tcMar>
            <w:hideMark/>
          </w:tcPr>
          <w:p w14:paraId="27F51D6E" w14:textId="77777777" w:rsidR="000F4918" w:rsidRDefault="000F4918">
            <w:pPr>
              <w:spacing w:after="40"/>
            </w:pPr>
            <w:r>
              <w:rPr>
                <w:b/>
                <w:bCs/>
                <w:color w:val="1F497D"/>
              </w:rPr>
              <w:t>Data-Driven Reopening Thresholds</w:t>
            </w:r>
          </w:p>
          <w:p w14:paraId="0176BCA3" w14:textId="77777777" w:rsidR="000F4918" w:rsidRDefault="000F4918">
            <w:r>
              <w:rPr>
                <w:sz w:val="20"/>
                <w:szCs w:val="20"/>
              </w:rPr>
              <w:t>The June 2021 California full reopening was followed by a Delta surge within six weeks, suggesting calendar-based reopening decisions are insufficient. Future reopening criteria should be tied to quantitative thresholds: 7-day average new cases below a defined rate per 100,000 population, hospitalisation rates below ICU capacity thresholds, and 7-day average deaths below a defined ceiling — not to fixed dates.</w:t>
            </w:r>
          </w:p>
        </w:tc>
      </w:tr>
    </w:tbl>
    <w:p w14:paraId="0D2D36B1" w14:textId="77777777" w:rsidR="000F4918" w:rsidRDefault="000F4918" w:rsidP="000F491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0F4918" w14:paraId="3D9C02DB" w14:textId="77777777">
        <w:tc>
          <w:tcPr>
            <w:tcW w:w="640" w:type="dxa"/>
            <w:tcBorders>
              <w:top w:val="single" w:sz="2" w:space="0" w:color="CCCCCC"/>
              <w:left w:val="single" w:sz="2" w:space="0" w:color="CCCCCC"/>
              <w:bottom w:val="single" w:sz="2" w:space="0" w:color="CCCCCC"/>
              <w:right w:val="nil"/>
            </w:tcBorders>
            <w:shd w:val="clear" w:color="auto" w:fill="2E75B6"/>
            <w:tcMar>
              <w:top w:w="120" w:type="dxa"/>
              <w:left w:w="120" w:type="dxa"/>
              <w:bottom w:w="120" w:type="dxa"/>
              <w:right w:w="80" w:type="dxa"/>
            </w:tcMar>
            <w:vAlign w:val="center"/>
            <w:hideMark/>
          </w:tcPr>
          <w:p w14:paraId="1A97EC9C" w14:textId="77777777" w:rsidR="000F4918" w:rsidRDefault="000F4918">
            <w:pPr>
              <w:jc w:val="center"/>
            </w:pPr>
            <w:r>
              <w:rPr>
                <w:b/>
                <w:bCs/>
                <w:color w:val="FFFFFF"/>
                <w:sz w:val="32"/>
                <w:szCs w:val="32"/>
              </w:rPr>
              <w:t>4</w:t>
            </w:r>
          </w:p>
        </w:tc>
        <w:tc>
          <w:tcPr>
            <w:tcW w:w="8720" w:type="dxa"/>
            <w:tcBorders>
              <w:top w:val="single" w:sz="2" w:space="0" w:color="CCCCCC"/>
              <w:left w:val="nil"/>
              <w:bottom w:val="single" w:sz="2" w:space="0" w:color="CCCCCC"/>
              <w:right w:val="single" w:sz="2" w:space="0" w:color="CCCCCC"/>
            </w:tcBorders>
            <w:shd w:val="clear" w:color="auto" w:fill="D9E2F3"/>
            <w:tcMar>
              <w:top w:w="100" w:type="dxa"/>
              <w:left w:w="160" w:type="dxa"/>
              <w:bottom w:w="100" w:type="dxa"/>
              <w:right w:w="160" w:type="dxa"/>
            </w:tcMar>
            <w:hideMark/>
          </w:tcPr>
          <w:p w14:paraId="515CDB03" w14:textId="77777777" w:rsidR="000F4918" w:rsidRDefault="000F4918">
            <w:pPr>
              <w:spacing w:after="40"/>
            </w:pPr>
            <w:r>
              <w:rPr>
                <w:b/>
                <w:bCs/>
                <w:color w:val="1F497D"/>
              </w:rPr>
              <w:t>Deploy LSTM-Based Real-Time Surveillance</w:t>
            </w:r>
          </w:p>
          <w:p w14:paraId="724AE0B9" w14:textId="77777777" w:rsidR="000F4918" w:rsidRDefault="000F4918">
            <w:r>
              <w:rPr>
                <w:sz w:val="20"/>
                <w:szCs w:val="20"/>
              </w:rPr>
              <w:t>The LSTM model achieved 40% lower MAE than ARIMA and demonstrated the ability to forecast 30-day future trajectories from historical sequences alone. Public health agencies should invest in continuous retraining pipelines that feed daily case data into LSTM models, generating automated early-warning signals when forecast trajectories deviate significantly from the expected decline path. ARIMA-based confidence intervals should supplement LSTM outputs for uncertainty communication.</w:t>
            </w:r>
          </w:p>
        </w:tc>
      </w:tr>
    </w:tbl>
    <w:p w14:paraId="252669E5" w14:textId="77777777" w:rsidR="000F4918" w:rsidRDefault="000F4918" w:rsidP="000F491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0F4918" w14:paraId="64EB9B1C" w14:textId="77777777">
        <w:tc>
          <w:tcPr>
            <w:tcW w:w="640" w:type="dxa"/>
            <w:tcBorders>
              <w:top w:val="single" w:sz="2" w:space="0" w:color="CCCCCC"/>
              <w:left w:val="single" w:sz="2" w:space="0" w:color="CCCCCC"/>
              <w:bottom w:val="single" w:sz="2" w:space="0" w:color="CCCCCC"/>
              <w:right w:val="nil"/>
            </w:tcBorders>
            <w:shd w:val="clear" w:color="auto" w:fill="2E75B6"/>
            <w:tcMar>
              <w:top w:w="120" w:type="dxa"/>
              <w:left w:w="120" w:type="dxa"/>
              <w:bottom w:w="120" w:type="dxa"/>
              <w:right w:w="80" w:type="dxa"/>
            </w:tcMar>
            <w:vAlign w:val="center"/>
            <w:hideMark/>
          </w:tcPr>
          <w:p w14:paraId="4DB943F7" w14:textId="77777777" w:rsidR="000F4918" w:rsidRDefault="000F4918">
            <w:pPr>
              <w:jc w:val="center"/>
            </w:pPr>
            <w:r>
              <w:rPr>
                <w:b/>
                <w:bCs/>
                <w:color w:val="FFFFFF"/>
                <w:sz w:val="32"/>
                <w:szCs w:val="32"/>
              </w:rPr>
              <w:t>5</w:t>
            </w:r>
          </w:p>
        </w:tc>
        <w:tc>
          <w:tcPr>
            <w:tcW w:w="8720" w:type="dxa"/>
            <w:tcBorders>
              <w:top w:val="single" w:sz="2" w:space="0" w:color="CCCCCC"/>
              <w:left w:val="nil"/>
              <w:bottom w:val="single" w:sz="2" w:space="0" w:color="CCCCCC"/>
              <w:right w:val="single" w:sz="2" w:space="0" w:color="CCCCCC"/>
            </w:tcBorders>
            <w:shd w:val="clear" w:color="auto" w:fill="D9E2F3"/>
            <w:tcMar>
              <w:top w:w="100" w:type="dxa"/>
              <w:left w:w="160" w:type="dxa"/>
              <w:bottom w:w="100" w:type="dxa"/>
              <w:right w:w="160" w:type="dxa"/>
            </w:tcMar>
            <w:hideMark/>
          </w:tcPr>
          <w:p w14:paraId="57714966" w14:textId="77777777" w:rsidR="000F4918" w:rsidRDefault="000F4918">
            <w:pPr>
              <w:spacing w:after="40"/>
            </w:pPr>
            <w:r>
              <w:rPr>
                <w:b/>
                <w:bCs/>
                <w:color w:val="1F497D"/>
              </w:rPr>
              <w:t>Improve Real-Time Data Infrastructure</w:t>
            </w:r>
          </w:p>
          <w:p w14:paraId="3019B2C2" w14:textId="77777777" w:rsidR="000F4918" w:rsidRDefault="000F4918">
            <w:r>
              <w:rPr>
                <w:sz w:val="20"/>
                <w:szCs w:val="20"/>
              </w:rPr>
              <w:t>The 7,565 inconsistent entries (deaths exceeding confirmed cases) reflect reporting lags that introduce systematic noise into both descriptive analyses and model training. Improving real-time county-level data pipelines — including standardised daily reporting, electronic laboratory reporting mandates, and automated consistency checks — would directly reduce model error and improve the reliability of public-facing dashboards and policy triggers.</w:t>
            </w:r>
          </w:p>
        </w:tc>
      </w:tr>
    </w:tbl>
    <w:p w14:paraId="3DAA6AD2" w14:textId="77777777" w:rsidR="000F4918" w:rsidRDefault="000F4918" w:rsidP="000F4918">
      <w:pPr>
        <w:spacing w:before="200"/>
      </w:pPr>
    </w:p>
    <w:p w14:paraId="407E6E96" w14:textId="77777777" w:rsidR="000F4918" w:rsidRDefault="000F4918">
      <w:pPr>
        <w:spacing w:before="60" w:after="60"/>
      </w:pPr>
    </w:p>
    <w:sectPr w:rsidR="000F4918">
      <w:headerReference w:type="default" r:id="rId30"/>
      <w:footerReference w:type="default" r:id="rId3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C7991" w14:textId="77777777" w:rsidR="00421E98" w:rsidRDefault="00421E98">
      <w:r>
        <w:separator/>
      </w:r>
    </w:p>
  </w:endnote>
  <w:endnote w:type="continuationSeparator" w:id="0">
    <w:p w14:paraId="580EE589" w14:textId="77777777" w:rsidR="00421E98" w:rsidRDefault="00421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44C05" w14:textId="77777777" w:rsidR="00645A15" w:rsidRDefault="002068AE">
    <w:pPr>
      <w:pBdr>
        <w:top w:val="single" w:sz="4" w:space="4" w:color="D6DCE4"/>
      </w:pBdr>
      <w:tabs>
        <w:tab w:val="right" w:pos="9026"/>
      </w:tabs>
      <w:spacing w:before="80"/>
    </w:pPr>
    <w:r>
      <w:rPr>
        <w:sz w:val="16"/>
        <w:szCs w:val="16"/>
      </w:rPr>
      <w:tab/>
    </w:r>
    <w:r>
      <w:rPr>
        <w:color w:val="555555"/>
        <w:sz w:val="16"/>
        <w:szCs w:val="16"/>
      </w:rPr>
      <w:t xml:space="preserve">Page </w:t>
    </w:r>
    <w:r>
      <w:fldChar w:fldCharType="begin"/>
    </w:r>
    <w:r>
      <w:instrText>PAGE</w:instrText>
    </w:r>
    <w:r>
      <w:fldChar w:fldCharType="separate"/>
    </w:r>
    <w:r w:rsidR="003604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8026B" w14:textId="77777777" w:rsidR="00421E98" w:rsidRDefault="00421E98">
      <w:r>
        <w:separator/>
      </w:r>
    </w:p>
  </w:footnote>
  <w:footnote w:type="continuationSeparator" w:id="0">
    <w:p w14:paraId="5714F064" w14:textId="77777777" w:rsidR="00421E98" w:rsidRDefault="00421E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1A0CD" w14:textId="77777777" w:rsidR="00645A15" w:rsidRDefault="002068AE">
    <w:pPr>
      <w:pBdr>
        <w:bottom w:val="single" w:sz="6" w:space="4" w:color="2E75B6"/>
      </w:pBdr>
      <w:tabs>
        <w:tab w:val="right" w:pos="9026"/>
      </w:tabs>
      <w:spacing w:after="120"/>
    </w:pPr>
    <w:r>
      <w:rPr>
        <w:color w:val="555555"/>
        <w:sz w:val="18"/>
        <w:szCs w:val="18"/>
      </w:rPr>
      <w:t>COVID-19 Time Series Analysis — US (2020–2023)</w:t>
    </w:r>
    <w:r>
      <w:rPr>
        <w:sz w:val="18"/>
        <w:szCs w:val="18"/>
      </w:rPr>
      <w:tab/>
    </w:r>
    <w:r>
      <w:rPr>
        <w:i/>
        <w:iCs/>
        <w:color w:val="555555"/>
        <w:sz w:val="18"/>
        <w:szCs w:val="18"/>
      </w:rPr>
      <w:t>Data Science &amp; Analytics | Project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3610E8"/>
    <w:multiLevelType w:val="hybridMultilevel"/>
    <w:tmpl w:val="6F8CC008"/>
    <w:lvl w:ilvl="0" w:tplc="8020C2F0">
      <w:start w:val="1"/>
      <w:numFmt w:val="bullet"/>
      <w:lvlText w:val="●"/>
      <w:lvlJc w:val="left"/>
      <w:pPr>
        <w:ind w:left="720" w:hanging="360"/>
      </w:pPr>
    </w:lvl>
    <w:lvl w:ilvl="1" w:tplc="F9885998">
      <w:start w:val="1"/>
      <w:numFmt w:val="bullet"/>
      <w:lvlText w:val="○"/>
      <w:lvlJc w:val="left"/>
      <w:pPr>
        <w:ind w:left="1440" w:hanging="360"/>
      </w:pPr>
    </w:lvl>
    <w:lvl w:ilvl="2" w:tplc="7E82CB8E">
      <w:start w:val="1"/>
      <w:numFmt w:val="bullet"/>
      <w:lvlText w:val="■"/>
      <w:lvlJc w:val="left"/>
      <w:pPr>
        <w:ind w:left="2160" w:hanging="360"/>
      </w:pPr>
    </w:lvl>
    <w:lvl w:ilvl="3" w:tplc="AEE280EE">
      <w:start w:val="1"/>
      <w:numFmt w:val="bullet"/>
      <w:lvlText w:val="●"/>
      <w:lvlJc w:val="left"/>
      <w:pPr>
        <w:ind w:left="2880" w:hanging="360"/>
      </w:pPr>
    </w:lvl>
    <w:lvl w:ilvl="4" w:tplc="C114AFEA">
      <w:start w:val="1"/>
      <w:numFmt w:val="bullet"/>
      <w:lvlText w:val="○"/>
      <w:lvlJc w:val="left"/>
      <w:pPr>
        <w:ind w:left="3600" w:hanging="360"/>
      </w:pPr>
    </w:lvl>
    <w:lvl w:ilvl="5" w:tplc="2B9A293C">
      <w:start w:val="1"/>
      <w:numFmt w:val="bullet"/>
      <w:lvlText w:val="■"/>
      <w:lvlJc w:val="left"/>
      <w:pPr>
        <w:ind w:left="4320" w:hanging="360"/>
      </w:pPr>
    </w:lvl>
    <w:lvl w:ilvl="6" w:tplc="43FED634">
      <w:start w:val="1"/>
      <w:numFmt w:val="bullet"/>
      <w:lvlText w:val="●"/>
      <w:lvlJc w:val="left"/>
      <w:pPr>
        <w:ind w:left="5040" w:hanging="360"/>
      </w:pPr>
    </w:lvl>
    <w:lvl w:ilvl="7" w:tplc="44CEE2D8">
      <w:start w:val="1"/>
      <w:numFmt w:val="bullet"/>
      <w:lvlText w:val="●"/>
      <w:lvlJc w:val="left"/>
      <w:pPr>
        <w:ind w:left="5760" w:hanging="360"/>
      </w:pPr>
    </w:lvl>
    <w:lvl w:ilvl="8" w:tplc="F61A07B8">
      <w:start w:val="1"/>
      <w:numFmt w:val="bullet"/>
      <w:lvlText w:val="●"/>
      <w:lvlJc w:val="left"/>
      <w:pPr>
        <w:ind w:left="6480" w:hanging="360"/>
      </w:pPr>
    </w:lvl>
  </w:abstractNum>
  <w:abstractNum w:abstractNumId="1" w15:restartNumberingAfterBreak="0">
    <w:nsid w:val="39B336B7"/>
    <w:multiLevelType w:val="hybridMultilevel"/>
    <w:tmpl w:val="7368C2F6"/>
    <w:lvl w:ilvl="0" w:tplc="097ADA48">
      <w:start w:val="1"/>
      <w:numFmt w:val="bullet"/>
      <w:lvlText w:val="●"/>
      <w:lvlJc w:val="left"/>
      <w:pPr>
        <w:ind w:left="720" w:hanging="360"/>
      </w:pPr>
    </w:lvl>
    <w:lvl w:ilvl="1" w:tplc="922400C0">
      <w:start w:val="1"/>
      <w:numFmt w:val="bullet"/>
      <w:lvlText w:val="○"/>
      <w:lvlJc w:val="left"/>
      <w:pPr>
        <w:ind w:left="1440" w:hanging="360"/>
      </w:pPr>
    </w:lvl>
    <w:lvl w:ilvl="2" w:tplc="FEC20DA4">
      <w:start w:val="1"/>
      <w:numFmt w:val="bullet"/>
      <w:lvlText w:val="■"/>
      <w:lvlJc w:val="left"/>
      <w:pPr>
        <w:ind w:left="2160" w:hanging="360"/>
      </w:pPr>
    </w:lvl>
    <w:lvl w:ilvl="3" w:tplc="C0C2504E">
      <w:start w:val="1"/>
      <w:numFmt w:val="bullet"/>
      <w:lvlText w:val="●"/>
      <w:lvlJc w:val="left"/>
      <w:pPr>
        <w:ind w:left="2880" w:hanging="360"/>
      </w:pPr>
    </w:lvl>
    <w:lvl w:ilvl="4" w:tplc="426CA590">
      <w:start w:val="1"/>
      <w:numFmt w:val="bullet"/>
      <w:lvlText w:val="○"/>
      <w:lvlJc w:val="left"/>
      <w:pPr>
        <w:ind w:left="3600" w:hanging="360"/>
      </w:pPr>
    </w:lvl>
    <w:lvl w:ilvl="5" w:tplc="2EAE594C">
      <w:start w:val="1"/>
      <w:numFmt w:val="bullet"/>
      <w:lvlText w:val="■"/>
      <w:lvlJc w:val="left"/>
      <w:pPr>
        <w:ind w:left="4320" w:hanging="360"/>
      </w:pPr>
    </w:lvl>
    <w:lvl w:ilvl="6" w:tplc="155A822C">
      <w:start w:val="1"/>
      <w:numFmt w:val="bullet"/>
      <w:lvlText w:val="●"/>
      <w:lvlJc w:val="left"/>
      <w:pPr>
        <w:ind w:left="5040" w:hanging="360"/>
      </w:pPr>
    </w:lvl>
    <w:lvl w:ilvl="7" w:tplc="453679EC">
      <w:start w:val="1"/>
      <w:numFmt w:val="bullet"/>
      <w:lvlText w:val="●"/>
      <w:lvlJc w:val="left"/>
      <w:pPr>
        <w:ind w:left="5760" w:hanging="360"/>
      </w:pPr>
    </w:lvl>
    <w:lvl w:ilvl="8" w:tplc="B4105446">
      <w:start w:val="1"/>
      <w:numFmt w:val="bullet"/>
      <w:lvlText w:val="●"/>
      <w:lvlJc w:val="left"/>
      <w:pPr>
        <w:ind w:left="6480" w:hanging="360"/>
      </w:pPr>
    </w:lvl>
  </w:abstractNum>
  <w:abstractNum w:abstractNumId="2" w15:restartNumberingAfterBreak="0">
    <w:nsid w:val="4CFA5CE8"/>
    <w:multiLevelType w:val="hybridMultilevel"/>
    <w:tmpl w:val="15D4E282"/>
    <w:lvl w:ilvl="0" w:tplc="18524DFC">
      <w:start w:val="1"/>
      <w:numFmt w:val="bullet"/>
      <w:lvlText w:val="•"/>
      <w:lvlJc w:val="left"/>
      <w:pPr>
        <w:ind w:left="720" w:hanging="360"/>
      </w:pPr>
    </w:lvl>
    <w:lvl w:ilvl="1" w:tplc="4D58955E">
      <w:start w:val="1"/>
      <w:numFmt w:val="bullet"/>
      <w:lvlText w:val="◦"/>
      <w:lvlJc w:val="left"/>
      <w:pPr>
        <w:ind w:left="1080" w:hanging="360"/>
      </w:pPr>
    </w:lvl>
    <w:lvl w:ilvl="2" w:tplc="C84A39D4">
      <w:numFmt w:val="decimal"/>
      <w:lvlText w:val=""/>
      <w:lvlJc w:val="left"/>
    </w:lvl>
    <w:lvl w:ilvl="3" w:tplc="E32E178E">
      <w:numFmt w:val="decimal"/>
      <w:lvlText w:val=""/>
      <w:lvlJc w:val="left"/>
    </w:lvl>
    <w:lvl w:ilvl="4" w:tplc="1BBAFB02">
      <w:numFmt w:val="decimal"/>
      <w:lvlText w:val=""/>
      <w:lvlJc w:val="left"/>
    </w:lvl>
    <w:lvl w:ilvl="5" w:tplc="18FA7BB2">
      <w:numFmt w:val="decimal"/>
      <w:lvlText w:val=""/>
      <w:lvlJc w:val="left"/>
    </w:lvl>
    <w:lvl w:ilvl="6" w:tplc="BAC6F3AC">
      <w:numFmt w:val="decimal"/>
      <w:lvlText w:val=""/>
      <w:lvlJc w:val="left"/>
    </w:lvl>
    <w:lvl w:ilvl="7" w:tplc="D2D0FE76">
      <w:numFmt w:val="decimal"/>
      <w:lvlText w:val=""/>
      <w:lvlJc w:val="left"/>
    </w:lvl>
    <w:lvl w:ilvl="8" w:tplc="ADAADB46">
      <w:numFmt w:val="decimal"/>
      <w:lvlText w:val=""/>
      <w:lvlJc w:val="left"/>
    </w:lvl>
  </w:abstractNum>
  <w:abstractNum w:abstractNumId="3" w15:restartNumberingAfterBreak="0">
    <w:nsid w:val="62CF65F4"/>
    <w:multiLevelType w:val="hybridMultilevel"/>
    <w:tmpl w:val="F6802682"/>
    <w:lvl w:ilvl="0" w:tplc="CE448E10">
      <w:start w:val="1"/>
      <w:numFmt w:val="decimal"/>
      <w:lvlText w:val="%1."/>
      <w:lvlJc w:val="left"/>
      <w:pPr>
        <w:ind w:left="720" w:hanging="360"/>
      </w:pPr>
    </w:lvl>
    <w:lvl w:ilvl="1" w:tplc="84A074C4">
      <w:numFmt w:val="decimal"/>
      <w:lvlText w:val=""/>
      <w:lvlJc w:val="left"/>
    </w:lvl>
    <w:lvl w:ilvl="2" w:tplc="147E7A9E">
      <w:numFmt w:val="decimal"/>
      <w:lvlText w:val=""/>
      <w:lvlJc w:val="left"/>
    </w:lvl>
    <w:lvl w:ilvl="3" w:tplc="9D5C70D8">
      <w:numFmt w:val="decimal"/>
      <w:lvlText w:val=""/>
      <w:lvlJc w:val="left"/>
    </w:lvl>
    <w:lvl w:ilvl="4" w:tplc="8868A6AC">
      <w:numFmt w:val="decimal"/>
      <w:lvlText w:val=""/>
      <w:lvlJc w:val="left"/>
    </w:lvl>
    <w:lvl w:ilvl="5" w:tplc="947AA456">
      <w:numFmt w:val="decimal"/>
      <w:lvlText w:val=""/>
      <w:lvlJc w:val="left"/>
    </w:lvl>
    <w:lvl w:ilvl="6" w:tplc="1C50796A">
      <w:numFmt w:val="decimal"/>
      <w:lvlText w:val=""/>
      <w:lvlJc w:val="left"/>
    </w:lvl>
    <w:lvl w:ilvl="7" w:tplc="6C56A306">
      <w:numFmt w:val="decimal"/>
      <w:lvlText w:val=""/>
      <w:lvlJc w:val="left"/>
    </w:lvl>
    <w:lvl w:ilvl="8" w:tplc="AD320B5E">
      <w:numFmt w:val="decimal"/>
      <w:lvlText w:val=""/>
      <w:lvlJc w:val="left"/>
    </w:lvl>
  </w:abstractNum>
  <w:num w:numId="1" w16cid:durableId="1867936957">
    <w:abstractNumId w:val="1"/>
    <w:lvlOverride w:ilvl="0">
      <w:startOverride w:val="1"/>
    </w:lvlOverride>
  </w:num>
  <w:num w:numId="2" w16cid:durableId="1280187811">
    <w:abstractNumId w:val="2"/>
    <w:lvlOverride w:ilvl="0">
      <w:startOverride w:val="1"/>
    </w:lvlOverride>
  </w:num>
  <w:num w:numId="3" w16cid:durableId="1722751236">
    <w:abstractNumId w:val="3"/>
    <w:lvlOverride w:ilvl="0">
      <w:startOverride w:val="1"/>
    </w:lvlOverride>
  </w:num>
  <w:num w:numId="4" w16cid:durableId="15378915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A15"/>
    <w:rsid w:val="00064BBE"/>
    <w:rsid w:val="000F4918"/>
    <w:rsid w:val="002068AE"/>
    <w:rsid w:val="002C64D0"/>
    <w:rsid w:val="0036048F"/>
    <w:rsid w:val="003916EF"/>
    <w:rsid w:val="003E2CC9"/>
    <w:rsid w:val="00421E98"/>
    <w:rsid w:val="005573BF"/>
    <w:rsid w:val="00645A15"/>
    <w:rsid w:val="00766D2B"/>
    <w:rsid w:val="00A74AF2"/>
    <w:rsid w:val="00E12147"/>
    <w:rsid w:val="00E275DD"/>
    <w:rsid w:val="00E71309"/>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D7952"/>
  <w15:docId w15:val="{9FEEC8AB-DACE-4D1C-B099-452E2774C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BW" w:eastAsia="en-B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97D"/>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200" w:after="60"/>
      <w:outlineLvl w:val="2"/>
    </w:pPr>
    <w:rPr>
      <w:b/>
      <w:bCs/>
      <w:color w:val="2F549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36048F"/>
    <w:pPr>
      <w:tabs>
        <w:tab w:val="center" w:pos="4513"/>
        <w:tab w:val="right" w:pos="9026"/>
      </w:tabs>
    </w:pPr>
  </w:style>
  <w:style w:type="character" w:customStyle="1" w:styleId="HeaderChar">
    <w:name w:val="Header Char"/>
    <w:basedOn w:val="DefaultParagraphFont"/>
    <w:link w:val="Header"/>
    <w:uiPriority w:val="99"/>
    <w:rsid w:val="0036048F"/>
  </w:style>
  <w:style w:type="paragraph" w:styleId="Footer">
    <w:name w:val="footer"/>
    <w:basedOn w:val="Normal"/>
    <w:link w:val="FooterChar"/>
    <w:uiPriority w:val="99"/>
    <w:unhideWhenUsed/>
    <w:rsid w:val="0036048F"/>
    <w:pPr>
      <w:tabs>
        <w:tab w:val="center" w:pos="4513"/>
        <w:tab w:val="right" w:pos="9026"/>
      </w:tabs>
    </w:pPr>
  </w:style>
  <w:style w:type="character" w:customStyle="1" w:styleId="FooterChar">
    <w:name w:val="Footer Char"/>
    <w:basedOn w:val="DefaultParagraphFont"/>
    <w:link w:val="Footer"/>
    <w:uiPriority w:val="99"/>
    <w:rsid w:val="003604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3046</Words>
  <Characters>17363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Tshiamo Porati- Mashabane</cp:lastModifiedBy>
  <cp:revision>2</cp:revision>
  <dcterms:created xsi:type="dcterms:W3CDTF">2026-03-25T17:17:00Z</dcterms:created>
  <dcterms:modified xsi:type="dcterms:W3CDTF">2026-03-25T17:17:00Z</dcterms:modified>
</cp:coreProperties>
</file>