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Display" w:hAnsi="Aptos Display"/>
          <w:b/>
          <w:color w:val="32528B"/>
          <w:sz w:val="62"/>
        </w:rPr>
        <w:t>AUtoMLy</w:t>
      </w:r>
    </w:p>
    <w:p>
      <w:pPr>
        <w:spacing w:after="40"/>
        <w:jc w:val="center"/>
      </w:pPr>
      <w:r>
        <w:rPr>
          <w:b/>
          <w:color w:val="D6CA8F"/>
          <w:sz w:val="32"/>
        </w:rPr>
        <w:t>MEDICAID POLICY COPILOT</w:t>
      </w:r>
    </w:p>
    <w:p>
      <w:pPr>
        <w:spacing w:after="300"/>
        <w:jc w:val="center"/>
      </w:pPr>
      <w:r>
        <w:rPr>
          <w:b/>
          <w:color w:val="5B6573"/>
          <w:sz w:val="25"/>
        </w:rPr>
        <w:t>ALPHIN Model Component</w:t>
      </w:r>
    </w:p>
    <w:p>
      <w:pPr>
        <w:spacing w:after="40"/>
        <w:jc w:val="center"/>
      </w:pPr>
      <w:r>
        <w:rPr>
          <w:color w:val="32528B"/>
          <w:sz w:val="26"/>
        </w:rPr>
        <w:t>INAI 6986 — Artificial Intelligence Capstone</w:t>
      </w:r>
    </w:p>
    <w:p>
      <w:pPr>
        <w:spacing w:after="320"/>
        <w:jc w:val="center"/>
      </w:pPr>
      <w:r>
        <w:rPr>
          <w:b/>
          <w:color w:val="1F2937"/>
          <w:sz w:val="42"/>
        </w:rPr>
        <w:t>Milestone 1 — Data and Model Selection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7"/>
              </w:rPr>
              <w:t>Field</w:t>
            </w:r>
          </w:p>
        </w:tc>
        <w:tc>
          <w:tcPr>
            <w:tcW w:type="dxa" w:w="8280"/>
            <w:vAlign w:val="center"/>
            <w:tcMar>
              <w:top w:w="55" w:type="dxa"/>
              <w:start w:w="70" w:type="dxa"/>
              <w:bottom w:w="55" w:type="dxa"/>
              <w:end w:w="70" w:type="dxa"/>
            </w:tcMar>
            <w:shd w:fill="32528B"/>
          </w:tcPr>
          <w:p>
            <w:pPr>
              <w:spacing w:before="0" w:after="0" w:line="240" w:lineRule="auto"/>
            </w:pPr>
            <w:r/>
            <w:r>
              <w:rPr>
                <w:rFonts w:ascii="Aptos" w:hAnsi="Aptos"/>
                <w:b/>
                <w:color w:val="FFFFFF"/>
                <w:sz w:val="17"/>
              </w:rPr>
              <w:t>Submission Information</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7"/>
              </w:rPr>
              <w:t>Student</w:t>
            </w:r>
          </w:p>
        </w:tc>
        <w:tc>
          <w:tcPr>
            <w:tcW w:type="dxa" w:w="8280"/>
            <w:vAlign w:val="center"/>
            <w:tcMar>
              <w:top w:w="55" w:type="dxa"/>
              <w:start w:w="70" w:type="dxa"/>
              <w:bottom w:w="55" w:type="dxa"/>
              <w:end w:w="70" w:type="dxa"/>
            </w:tcMar>
          </w:tcPr>
          <w:p>
            <w:pPr>
              <w:spacing w:before="0" w:after="0" w:line="240" w:lineRule="auto"/>
            </w:pPr>
            <w:r>
              <w:t>J.O.</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7"/>
              </w:rPr>
              <w:t>Course / Instructor</w:t>
            </w:r>
          </w:p>
        </w:tc>
        <w:tc>
          <w:tcPr>
            <w:tcW w:type="dxa" w:w="8280"/>
            <w:vAlign w:val="center"/>
            <w:tcMar>
              <w:top w:w="55" w:type="dxa"/>
              <w:start w:w="70" w:type="dxa"/>
              <w:bottom w:w="55" w:type="dxa"/>
              <w:end w:w="70" w:type="dxa"/>
            </w:tcMar>
            <w:shd w:fill="F6F8FB"/>
          </w:tcPr>
          <w:p>
            <w:pPr>
              <w:spacing w:before="0" w:after="0" w:line="240" w:lineRule="auto"/>
            </w:pPr>
            <w:r>
              <w:t>INAI 6986 / the course instructor</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7"/>
              </w:rPr>
              <w:t>Declared Family</w:t>
            </w:r>
          </w:p>
        </w:tc>
        <w:tc>
          <w:tcPr>
            <w:tcW w:type="dxa" w:w="8280"/>
            <w:vAlign w:val="center"/>
            <w:tcMar>
              <w:top w:w="55" w:type="dxa"/>
              <w:start w:w="70" w:type="dxa"/>
              <w:bottom w:w="55" w:type="dxa"/>
              <w:end w:w="70" w:type="dxa"/>
            </w:tcMar>
          </w:tcPr>
          <w:p>
            <w:pPr>
              <w:spacing w:before="0" w:after="0" w:line="240" w:lineRule="auto"/>
            </w:pPr>
            <w:r/>
            <w:r>
              <w:rPr>
                <w:rFonts w:ascii="Aptos" w:hAnsi="Aptos"/>
                <w:b w:val="0"/>
                <w:color w:val="1F2937"/>
                <w:sz w:val="17"/>
              </w:rPr>
              <w:t>Deep Learning (DL): local Muse Glimmer 30B LLM adaptation with QLoRA</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7"/>
              </w:rPr>
              <w:t>Instructor Authorization</w:t>
            </w:r>
          </w:p>
        </w:tc>
        <w:tc>
          <w:tcPr>
            <w:tcW w:type="dxa" w:w="82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7"/>
              </w:rPr>
              <w:t>Explicit permission was granted to fine-tune an LLM for this capstone; the permission does not relax the same-split evidence requirements.</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7"/>
              </w:rPr>
              <w:t>Primary Metric</w:t>
            </w:r>
          </w:p>
        </w:tc>
        <w:tc>
          <w:tcPr>
            <w:tcW w:type="dxa" w:w="8280"/>
            <w:vAlign w:val="center"/>
            <w:tcMar>
              <w:top w:w="55" w:type="dxa"/>
              <w:start w:w="70" w:type="dxa"/>
              <w:bottom w:w="55" w:type="dxa"/>
              <w:end w:w="70" w:type="dxa"/>
            </w:tcMar>
          </w:tcPr>
          <w:p>
            <w:pPr>
              <w:spacing w:before="0" w:after="0" w:line="240" w:lineRule="auto"/>
            </w:pPr>
            <w:r/>
            <w:r>
              <w:rPr>
                <w:rFonts w:ascii="Aptos" w:hAnsi="Aptos"/>
                <w:b w:val="0"/>
                <w:color w:val="1F2937"/>
                <w:sz w:val="17"/>
              </w:rPr>
              <w:t>Human-adjudicated factual accuracy on answerable cases</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7"/>
              </w:rPr>
              <w:t>Evidence Cutoff</w:t>
            </w:r>
          </w:p>
        </w:tc>
        <w:tc>
          <w:tcPr>
            <w:tcW w:type="dxa" w:w="82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7"/>
              </w:rPr>
              <w:t>September 22, 2026, 7:49 AM Central</w:t>
            </w:r>
          </w:p>
        </w:tc>
      </w:tr>
      <w:tr>
        <w:trPr>
          <w:cantSplit/>
        </w:trPr>
        <w:tc>
          <w:tcPr>
            <w:tcW w:type="dxa" w:w="2376"/>
            <w:vAlign w:val="center"/>
            <w:tcMar>
              <w:top w:w="55" w:type="dxa"/>
              <w:start w:w="70" w:type="dxa"/>
              <w:bottom w:w="55" w:type="dxa"/>
              <w:end w:w="70" w:type="dxa"/>
            </w:tcMar>
          </w:tcPr>
          <w:p>
            <w:pPr>
              <w:spacing w:before="0" w:after="0" w:line="240" w:lineRule="auto"/>
            </w:pPr>
            <w:r>
              <w:t>Public Deliverables Repository</w:t>
            </w:r>
          </w:p>
        </w:tc>
        <w:tc>
          <w:tcPr>
            <w:tcW w:type="dxa" w:w="8280"/>
            <w:vAlign w:val="center"/>
            <w:tcMar>
              <w:top w:w="55" w:type="dxa"/>
              <w:start w:w="70" w:type="dxa"/>
              <w:bottom w:w="55" w:type="dxa"/>
              <w:end w:w="70" w:type="dxa"/>
            </w:tcMar>
          </w:tcPr>
          <w:p>
            <w:pPr>
              <w:spacing w:before="0" w:after="0" w:line="240" w:lineRule="auto"/>
            </w:pPr>
            <w:r>
              <w:t>https://github.com/porespellar/INAI6986_project_deliverables</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5F1DF"/>
            <w:tcMar>
              <w:top w:w="95" w:type="dxa"/>
              <w:start w:w="115" w:type="dxa"/>
              <w:bottom w:w="95" w:type="dxa"/>
              <w:end w:w="115" w:type="dxa"/>
            </w:tcMar>
          </w:tcPr>
          <w:p>
            <w:pPr>
              <w:spacing w:after="40"/>
            </w:pPr>
            <w:r/>
            <w:r>
              <w:rPr>
                <w:rFonts w:ascii="Aptos" w:hAnsi="Aptos"/>
                <w:b/>
                <w:color w:val="32528B"/>
                <w:sz w:val="20"/>
              </w:rPr>
              <w:t>Current Evidence Boundary</w:t>
            </w:r>
          </w:p>
          <w:p>
            <w:pPr>
              <w:spacing w:after="0" w:line="252" w:lineRule="auto"/>
            </w:pPr>
            <w:r>
              <w:t>Data preparation, two 211-step all-Muse adapter runs, and a same-split 191-question no-retrieval diagnostic are complete; the diagnostic did not produce a promotable winner. The student-authored 30-question control set and its source-evidence verification are complete. Session timestamps provide a 42m06s estimate for the 30-item manual question/answer authoring and source-check workflow; this is a chat-based elapsed-time proxy, not a controlled stopwatch benchmark. Human scoring of model outputs and measured model ablations remain open. The Open WebUI/ChromaDB retrieval system is scheduled for a later milestone, so retrieval-on results and the base/ALPHIN × retrieval/no-retrieval attribution comparison are explicitly deferred—not represented as completed or failed Milestone 1 experiments. No score or approval is inferred from training loss or token overlap.</w:t>
            </w:r>
          </w:p>
        </w:tc>
      </w:tr>
    </w:tbl>
    <w:p>
      <w:pPr>
        <w:spacing w:after="20"/>
      </w:pPr>
    </w:p>
    <w:p>
      <w:pPr>
        <w:jc w:val="center"/>
      </w:pPr>
      <w:r>
        <w:rPr>
          <w:i/>
          <w:color w:val="5B6573"/>
          <w:sz w:val="18"/>
        </w:rPr>
        <w:t>Submission package: editable DOCX, matching PDF, executed reproducibility notebook, and evidence snapshots</w:t>
      </w:r>
    </w:p>
    <w:p>
      <w:r>
        <w:br w:type="page"/>
      </w:r>
    </w:p>
    <w:p>
      <w:pPr>
        <w:pStyle w:val="Heading1"/>
      </w:pPr>
      <w:r>
        <w:t>1. Data Characteristics</w:t>
      </w:r>
    </w:p>
    <w:p>
      <w:pPr>
        <w:keepLines w:val="0"/>
        <w:widowControl/>
      </w:pPr>
      <w:r>
        <w:rPr>
          <w:i w:val="0"/>
        </w:rPr>
        <w:t>The modeling target is a concise, source-cited response to a public Alabama Medicaid policy or provider-billing question. It is not a beneficiary-level prediction or an eligibility, payment, clinical, legal, fraud, or enforcement decision. The preparation path preserves document, page, URL, snapshot date, and SHA-256 file fingerprint so every candidate can be traced to its source.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736"/>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Characteristic</w:t>
            </w:r>
          </w:p>
        </w:tc>
        <w:tc>
          <w:tcPr>
            <w:tcW w:type="dxa" w:w="7920"/>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Verified Value and Why It Matters</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6"/>
              </w:rPr>
              <w:t>Immutable source snapshot</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6"/>
              </w:rPr>
              <w:t>138 public PDFs / 2,433 pages dated 2026-09-14; 64 Administrative Code files and 74 core Provider Manual files.</w:t>
            </w:r>
          </w:p>
        </w:tc>
      </w:tr>
      <w:tr>
        <w:trPr>
          <w:cantSplit/>
        </w:trPr>
        <w:tc>
          <w:tcPr>
            <w:tcW w:type="dxa" w:w="27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Candidate-bearing documents</w:t>
            </w:r>
          </w:p>
        </w:tc>
        <w:tc>
          <w:tcPr>
            <w:tcW w:type="dxa" w:w="79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136. Two one-page reserved Administrative Code PDFs contain no candidate-bearing text.</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6"/>
              </w:rPr>
              <w:t>Final ordinary SFT shape</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6"/>
              </w:rPr>
              <w:t>1,999 records after quarantining one intentionally unanswerable blank-page record from the 2,000-record candidate file.</w:t>
            </w:r>
          </w:p>
        </w:tc>
      </w:tr>
      <w:tr>
        <w:trPr>
          <w:cantSplit/>
        </w:trPr>
        <w:tc>
          <w:tcPr>
            <w:tcW w:type="dxa" w:w="27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Source-family distribution</w:t>
            </w:r>
          </w:p>
        </w:tc>
        <w:tc>
          <w:tcPr>
            <w:tcW w:type="dxa" w:w="79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750 Administrative Code records and 1,249 Provider Manual records.</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6"/>
              </w:rPr>
              <w:t>Answer-length distribution</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6"/>
              </w:rPr>
              <w:t>Whitespace-delimited words: minimum 1; p25 8; median 18; p75 30; p90 43; p95 52; maximum 147.</w:t>
            </w:r>
          </w:p>
        </w:tc>
      </w:tr>
      <w:tr>
        <w:trPr>
          <w:cantSplit/>
        </w:trPr>
        <w:tc>
          <w:tcPr>
            <w:tcW w:type="dxa" w:w="27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Target / safety distribution</w:t>
            </w:r>
          </w:p>
        </w:tc>
        <w:tc>
          <w:tcPr>
            <w:tcW w:type="dxa" w:w="79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1,999 answerable ordinary-SFT records; one separate unanswerable safety case. One case is insufficient to estimate a 90% abstention rate.</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6"/>
              </w:rPr>
              <w:t>Privacy and rights boundary</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6"/>
              </w:rPr>
              <w:t>Public-information sources only; no PII, PHI, claims, medical records, provider-account records, or confidential agency data.</w:t>
            </w:r>
          </w:p>
        </w:tc>
      </w:tr>
    </w:tbl>
    <w:p>
      <w:pPr>
        <w:spacing w:after="20"/>
      </w:pPr>
    </w:p>
    <w:p>
      <w:pPr>
        <w:pStyle w:val="Heading2"/>
      </w:pPr>
      <w:r>
        <w:t>Split Strategy</w:t>
      </w:r>
    </w:p>
    <w:p>
      <w:pPr>
        <w:keepLines w:val="0"/>
        <w:widowControl/>
      </w:pPr>
      <w:r>
        <w:rPr>
          <w:i w:val="0"/>
        </w:rPr>
        <w:t>The split is grouped by source-document ID, not by row. A SHA-256 bucket assigns an entire document to train, validation, or test. This prevents adjacent pages and repeated headings from the same manual appearing on both sides of the evaluation boundary.</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Split</w:t>
            </w:r>
          </w:p>
        </w:tc>
        <w:tc>
          <w:tcPr>
            <w:tcW w:type="dxa" w:w="1296"/>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Records</w:t>
            </w:r>
          </w:p>
        </w:tc>
        <w:tc>
          <w:tcPr>
            <w:tcW w:type="dxa" w:w="1296"/>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Documents</w:t>
            </w:r>
          </w:p>
        </w:tc>
        <w:tc>
          <w:tcPr>
            <w:tcW w:type="dxa" w:w="6624"/>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Purpose</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6"/>
              </w:rPr>
              <w:t>Train</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6"/>
              </w:rPr>
              <w:t>1,684</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6"/>
              </w:rPr>
              <w:t>113</w:t>
            </w:r>
          </w:p>
        </w:tc>
        <w:tc>
          <w:tcPr>
            <w:tcW w:type="dxa" w:w="6624"/>
            <w:vAlign w:val="center"/>
            <w:tcMar>
              <w:top w:w="55" w:type="dxa"/>
              <w:start w:w="70" w:type="dxa"/>
              <w:bottom w:w="55" w:type="dxa"/>
              <w:end w:w="70" w:type="dxa"/>
            </w:tcMar>
          </w:tcPr>
          <w:p>
            <w:pPr>
              <w:spacing w:before="0" w:after="0" w:line="240" w:lineRule="auto"/>
            </w:pPr>
            <w:r/>
            <w:r>
              <w:rPr>
                <w:rFonts w:ascii="Aptos" w:hAnsi="Aptos"/>
                <w:b w:val="0"/>
                <w:color w:val="1F2937"/>
                <w:sz w:val="16"/>
              </w:rPr>
              <w:t>Fit the QLoRA adapter.</w:t>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Validation</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124</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10</w:t>
            </w:r>
          </w:p>
        </w:tc>
        <w:tc>
          <w:tcPr>
            <w:tcW w:type="dxa" w:w="66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Monitor training without touching the final test set.</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6"/>
              </w:rPr>
              <w:t>Test</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6"/>
              </w:rPr>
              <w:t>191</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6"/>
              </w:rPr>
              <w:t>13</w:t>
            </w:r>
          </w:p>
        </w:tc>
        <w:tc>
          <w:tcPr>
            <w:tcW w:type="dxa" w:w="6624"/>
            <w:vAlign w:val="center"/>
            <w:tcMar>
              <w:top w:w="55" w:type="dxa"/>
              <w:start w:w="70" w:type="dxa"/>
              <w:bottom w:w="55" w:type="dxa"/>
              <w:end w:w="70" w:type="dxa"/>
            </w:tcMar>
          </w:tcPr>
          <w:p>
            <w:pPr>
              <w:spacing w:before="0" w:after="0" w:line="240" w:lineRule="auto"/>
            </w:pPr>
            <w:r/>
            <w:r>
              <w:rPr>
                <w:rFonts w:ascii="Aptos" w:hAnsi="Aptos"/>
                <w:b w:val="0"/>
                <w:color w:val="1F2937"/>
                <w:sz w:val="16"/>
              </w:rPr>
              <w:t>Same frozen prompts for base and candidate diagnostics.</w:t>
            </w:r>
          </w:p>
        </w:tc>
      </w:tr>
    </w:tbl>
    <w:p>
      <w:pPr>
        <w:spacing w:after="20"/>
      </w:pPr>
    </w:p>
    <w:p>
      <w:pPr>
        <w:pStyle w:val="Heading2"/>
      </w:pPr>
      <w:r>
        <w:t>Changes Since the Week 4 Gate</w:t>
      </w:r>
    </w:p>
    <w:p>
      <w:pPr>
        <w:pStyle w:val="ListBullet"/>
        <w:spacing w:after="50"/>
        <w:ind w:left="331" w:hanging="187"/>
      </w:pPr>
      <w:r>
        <w:t>Rejected the mixed-model candidate and its September 16 run because 326 records came from the retired Qwen generator; that run is procedural evidence only.</w:t>
      </w:r>
    </w:p>
    <w:p>
      <w:pPr>
        <w:pStyle w:val="ListBullet"/>
        <w:spacing w:after="50"/>
        <w:ind w:left="331" w:hanging="187"/>
      </w:pPr>
      <w:r>
        <w:t>Rebuilt the canonical all-Muse file, quarantined the blank-answer safety case, and froze the 1,684/124/191 document-level split.</w:t>
      </w:r>
    </w:p>
    <w:p>
      <w:pPr>
        <w:pStyle w:val="ListBullet"/>
        <w:spacing w:after="50"/>
        <w:ind w:left="331" w:hanging="187"/>
      </w:pPr>
      <w:r>
        <w:t>Completed a clean corrective run on September 17 and a second all-Muse run on September 18; froze both adapters and preserved their fingerprints.</w:t>
      </w:r>
    </w:p>
    <w:p>
      <w:pPr>
        <w:pStyle w:val="ListBullet"/>
        <w:spacing w:after="50"/>
        <w:ind w:left="331" w:hanging="187"/>
      </w:pPr>
      <w:r>
        <w:t>Completed 512-token same-split diagnostics on September 21–22; the formal comparison blocked promotion rather than selecting a favorable number.</w:t>
      </w:r>
    </w:p>
    <w:tbl>
      <w:tblPr>
        <w:tblStyle w:val="TableGrid"/>
        <w:tblW w:type="auto" w:w="0"/>
        <w:tblLook w:firstColumn="1" w:firstRow="1" w:lastColumn="0" w:lastRow="0" w:noHBand="0" w:noVBand="1" w:val="04A0"/>
      </w:tblPr>
      <w:tblGrid>
        <w:gridCol w:w="10166"/>
      </w:tblGrid>
      <w:tr>
        <w:tc>
          <w:tcPr>
            <w:tcW w:type="dxa" w:w="10166"/>
            <w:shd w:fill="EAF0F8"/>
            <w:tcMar>
              <w:top w:w="95" w:type="dxa"/>
              <w:start w:w="115" w:type="dxa"/>
              <w:bottom w:w="95" w:type="dxa"/>
              <w:end w:w="115" w:type="dxa"/>
            </w:tcMar>
          </w:tcPr>
          <w:p>
            <w:pPr>
              <w:spacing w:after="40"/>
            </w:pPr>
            <w:r/>
            <w:r>
              <w:rPr>
                <w:rFonts w:ascii="Aptos" w:hAnsi="Aptos"/>
                <w:b/>
                <w:color w:val="32528B"/>
                <w:sz w:val="20"/>
              </w:rPr>
              <w:t>Approval Terminology</w:t>
            </w:r>
          </w:p>
          <w:p>
            <w:pPr>
              <w:spacing w:after="0" w:line="252" w:lineRule="auto"/>
            </w:pPr>
            <w:r>
              <w:rPr>
                <w:rFonts w:ascii="Aptos" w:hAnsi="Aptos"/>
                <w:color w:val="1F2937"/>
                <w:sz w:val="18"/>
              </w:rPr>
              <w:t>“Deterministically accepted” means schema, identity, provenance, and quarantine checks passed. It does not mean every answer has completed human factual review. The 1,999-record file still has an open human-review gate.</w:t>
            </w:r>
          </w:p>
        </w:tc>
      </w:tr>
    </w:tbl>
    <w:p>
      <w:pPr>
        <w:spacing w:after="20"/>
      </w:pPr>
    </w:p>
    <w:p>
      <w:r>
        <w:br w:type="page"/>
      </w:r>
    </w:p>
    <w:p>
      <w:pPr>
        <w:pStyle w:val="Heading1"/>
      </w:pPr>
      <w:r>
        <w:t>2. Candidates Considered</w:t>
      </w:r>
    </w:p>
    <w:p>
      <w:pPr>
        <w:keepLines w:val="0"/>
        <w:widowControl/>
      </w:pPr>
      <w:r>
        <w:t>The declared family is Deep Learning. the course instructor explicitly authorized LLM fine-tuning for the capstone, and the proposal feedback recognized the QLoRA-centered redesign as a defensible trade. The following fitted candidates stay inside that family and use the same Muse base architecture; retrieval remains a separate experimental condition, not a different model family.</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6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Candidate</w:t>
            </w:r>
          </w:p>
        </w:tc>
        <w:tc>
          <w:tcPr>
            <w:tcW w:type="dxa" w:w="40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Why Plausible</w:t>
            </w:r>
          </w:p>
        </w:tc>
        <w:tc>
          <w:tcPr>
            <w:tcW w:type="dxa" w:w="396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Trade-Off / Current Disposition</w:t>
            </w:r>
          </w:p>
        </w:tc>
      </w:tr>
      <w:tr>
        <w:trPr>
          <w:cantSplit/>
        </w:trPr>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A — Muse QLoRA, canonical clean run (Sep. 17)</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5"/>
              </w:rPr>
              <w:t>Uses 1,684 deterministically accepted Muse-only training records, answer-only Muse ATEM masking, and a reversible adapter suited to local private execution.</w:t>
            </w:r>
          </w:p>
        </w:tc>
        <w:tc>
          <w:tcPr>
            <w:tcW w:type="dxa" w:w="3960"/>
            <w:vAlign w:val="center"/>
            <w:tcMar>
              <w:top w:w="55" w:type="dxa"/>
              <w:start w:w="70" w:type="dxa"/>
              <w:bottom w:w="55" w:type="dxa"/>
              <w:end w:w="70" w:type="dxa"/>
            </w:tcMar>
          </w:tcPr>
          <w:p>
            <w:pPr>
              <w:spacing w:before="0" w:after="0" w:line="240" w:lineRule="auto"/>
            </w:pPr>
            <w:r/>
            <w:r>
              <w:rPr>
                <w:rFonts w:ascii="Aptos" w:hAnsi="Aptos"/>
                <w:b w:val="0"/>
                <w:color w:val="1F2937"/>
                <w:sz w:val="15"/>
              </w:rPr>
              <w:t>Canonical clean-data candidate. Completed 211 steps. Diagnostic gains are promising, but the one-record abstention check failed and factual accuracy is unscored.</w:t>
            </w:r>
          </w:p>
        </w:tc>
      </w:tr>
      <w:tr>
        <w:trPr>
          <w:cantSplit/>
        </w:trPr>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B — Muse QLoRA, second all-Muse run (Sep. 18)</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 sensitivity candidate using the same base and QLoRA recipe with a slightly different 1,685-row operational render; it tests engineering robustness, not strict same-data replication.</w:t>
            </w:r>
          </w:p>
        </w:tc>
        <w:tc>
          <w:tcPr>
            <w:tcW w:type="dxa" w:w="39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Completed 211 steps and passed the one safety probe. It is kept separate from the canonical 1,684-row lineage and is not treated as an independent architecture.</w:t>
            </w:r>
          </w:p>
        </w:tc>
      </w:tr>
    </w:tbl>
    <w:p>
      <w:pPr>
        <w:spacing w:after="20"/>
      </w:pPr>
    </w:p>
    <w:p>
      <w:pPr>
        <w:keepLines w:val="0"/>
        <w:widowControl/>
      </w:pPr>
      <w:r>
        <w:rPr>
          <w:b/>
        </w:rPr>
        <w:t xml:space="preserve">Actual tuning configuration. </w:t>
      </w:r>
      <w:r>
        <w:t>Both runs used the pinned `unsloth/Muse-Glimmer-30B-unsloth-bnb-4bit` revision with 4-bit loading and BF16 compute; LoRA rank 16, alpha 16, dropout 0; attention and MLP modules trainable; vision/perception layers frozen; maximum sequence length 4,096; micro-batch 1; gradient accumulation 8; learning rate 2×10⁻⁴; 20 warmup steps; one epoch / 211 steps; seed 3407; gradient checkpointing; and assistant-response-only ATEM masking.</w:t>
      </w:r>
    </w:p>
    <w:p>
      <w:pPr>
        <w:keepLines w:val="0"/>
        <w:widowControl/>
      </w:pPr>
      <w:r>
        <w:rPr>
          <w:b/>
        </w:rPr>
        <w:t xml:space="preserve">Why this is defensible for about 2,000 records. </w:t>
      </w:r>
      <w:r>
        <w:t>A small adapter reduces memory use and limits the number of trainable parameters compared with full-model fine-tuning. It preserves rollback, fits the local two-GPU environment, and avoids claiming that a small corpus can safely support unrestricted full-model retraining. The central risk is overfitting to generated answer conventions, which is why the independent student-authored control remains mandatory.</w:t>
      </w:r>
    </w:p>
    <w:p>
      <w:pPr>
        <w:pStyle w:val="Heading1"/>
      </w:pPr>
      <w:r>
        <w:t>3. Baseline</w:t>
      </w:r>
    </w:p>
    <w:p>
      <w:pPr>
        <w:keepLines w:val="0"/>
        <w:widowControl/>
      </w:pPr>
      <w:r>
        <w:t>All 30 control questions were manually authored and source-checked; each expected answer was verified against source documents/screenshots. Session reply intervals for the four batches total 42m06s (~1m24s/item: SA-001–005, 12m54s; SA-006–010, 8m04s; SA-011–020, 13m38s; SA-021–030, 7m29s). This is approximate chat-based elapsed time, not a stopwatch or controlled blind-search benchmark; question goals and source evidence were presented. This answer-key verification is separate from model-output scoring. No review of the other 161 generated-test items is required for this control-set check. The technical baseline is untouched Muse Glimmer 30B on the same 191 generated prompts, deterministic decoding, and 512-token limit used for both adapters.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Baseline</w:t>
            </w:r>
          </w:p>
        </w:tc>
        <w:tc>
          <w:tcPr>
            <w:tcW w:type="dxa" w:w="5400"/>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Same-Split Evidence</w:t>
            </w:r>
          </w:p>
        </w:tc>
        <w:tc>
          <w:tcPr>
            <w:tcW w:type="dxa" w:w="2736"/>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Primary-Metric Status</w:t>
            </w:r>
          </w:p>
        </w:tc>
      </w:tr>
      <w:tr>
        <w:trPr>
          <w:cantSplit/>
        </w:trPr>
        <w:tc>
          <w:tcPr>
            <w:tcW w:type="dxa" w:w="2520"/>
            <w:vAlign w:val="center"/>
            <w:tcMar>
              <w:top w:w="55" w:type="dxa"/>
              <w:start w:w="70" w:type="dxa"/>
              <w:bottom w:w="55" w:type="dxa"/>
              <w:end w:w="70" w:type="dxa"/>
            </w:tcMar>
          </w:tcPr>
          <w:p>
            <w:r>
              <w:t>Manual review / authoring estimate (30-item control)</w:t>
            </w:r>
          </w:p>
        </w:tc>
        <w:tc>
          <w:tcPr>
            <w:tcW w:type="dxa" w:w="5400"/>
            <w:vAlign w:val="center"/>
            <w:tcMar>
              <w:top w:w="55" w:type="dxa"/>
              <w:start w:w="70" w:type="dxa"/>
              <w:bottom w:w="55" w:type="dxa"/>
              <w:end w:w="70" w:type="dxa"/>
            </w:tcMar>
          </w:tcPr>
          <w:p>
            <w:r>
              <w:t>Elapsed time from the chat batch prompts to the student replies; each prompt included goals and source evidence.</w:t>
            </w:r>
          </w:p>
        </w:tc>
        <w:tc>
          <w:tcPr>
            <w:tcW w:type="dxa" w:w="2736"/>
            <w:vAlign w:val="center"/>
            <w:tcMar>
              <w:top w:w="55" w:type="dxa"/>
              <w:start w:w="70" w:type="dxa"/>
              <w:bottom w:w="55" w:type="dxa"/>
              <w:end w:w="70" w:type="dxa"/>
            </w:tcMar>
          </w:tcPr>
          <w:p>
            <w:r>
              <w:t>30/30 source-checked against PDFs/screenshots. Chat timestamps: 42m06s (~1m24s/item); approximate proxy with goals/evidence presented—not a controlled blind-search benchmark.</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Untouched Muse Glimmer 30B</w:t>
            </w:r>
          </w:p>
        </w:tc>
        <w:tc>
          <w:tcPr>
            <w:tcW w:type="dxa" w:w="54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191/191 diagnostic outputs completed; answer-token F1 0.2076; numeric exact match 6.96%; citation-URL presence 0%; 9/191 outputs length-truncated.</w:t>
            </w:r>
          </w:p>
        </w:tc>
        <w:tc>
          <w:tcPr>
            <w:tcW w:type="dxa" w:w="27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Human-adjudicated factual accuracy not yet scored.</w:t>
            </w:r>
          </w:p>
        </w:tc>
      </w:tr>
    </w:tbl>
    <w:p>
      <w:pPr>
        <w:spacing w:after="20"/>
      </w:pPr>
    </w:p>
    <w:p>
      <w:r>
        <w:br w:type="page"/>
      </w:r>
    </w:p>
    <w:p>
      <w:pPr>
        <w:pStyle w:val="Heading1"/>
      </w:pPr>
      <w:r>
        <w:t>4. Evidence</w:t>
      </w:r>
    </w:p>
    <w:p>
      <w:pPr>
        <w:keepLines w:val="0"/>
        <w:widowControl/>
      </w:pPr>
      <w:r>
        <w:t>All three systems received the same 191 generated test prompts (`89e747…d334`), prompt IDs (`44bf14…e703`), and deterministic generation settings, without a deployed retrieval layer. All 573 ordinary outputs plus the three safety outputs are preserved in the repository; the notebook verifies their hashes and recomputes the table from those per-prompt rows. The table reports engineering diagnostics only. Answer-token F1 is lexical overlap; citation presence checks formatting; neither is factual accuracy. The generated key also shares a model family with training-candidate generation. The completed 30-record Student-Authored Independent Control Set in Appendix D supplies a separate human-authored key; its answers were manually checked against source passages and screenshots. Human scoring of model outputs remains a separate step.</w:t>
      </w:r>
    </w:p>
    <w:tbl>
      <w:tblPr>
        <w:tblStyle w:val="TableGrid"/>
        <w:tblW w:type="auto" w:w="0"/>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2189"/>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System</w:t>
            </w:r>
          </w:p>
        </w:tc>
        <w:tc>
          <w:tcPr>
            <w:tcW w:type="dxa" w:w="60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n</w:t>
            </w:r>
          </w:p>
        </w:tc>
        <w:tc>
          <w:tcPr>
            <w:tcW w:type="dxa" w:w="132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Factual Accuracy</w:t>
            </w:r>
          </w:p>
        </w:tc>
        <w:tc>
          <w:tcPr>
            <w:tcW w:type="dxa" w:w="103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Answer F1</w:t>
            </w:r>
          </w:p>
        </w:tc>
        <w:tc>
          <w:tcPr>
            <w:tcW w:type="dxa" w:w="1181"/>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Numeric Exact</w:t>
            </w:r>
          </w:p>
        </w:tc>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Citation URL</w:t>
            </w:r>
          </w:p>
        </w:tc>
        <w:tc>
          <w:tcPr>
            <w:tcW w:type="dxa" w:w="103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Truncated</w:t>
            </w:r>
          </w:p>
        </w:tc>
        <w:tc>
          <w:tcPr>
            <w:tcW w:type="dxa" w:w="103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Abstention</w:t>
            </w:r>
          </w:p>
        </w:tc>
      </w:tr>
      <w:tr>
        <w:trPr>
          <w:cantSplit/>
        </w:trPr>
        <w:tc>
          <w:tcPr>
            <w:tcW w:type="dxa" w:w="2189"/>
            <w:vAlign w:val="center"/>
            <w:tcMar>
              <w:top w:w="55" w:type="dxa"/>
              <w:start w:w="70" w:type="dxa"/>
              <w:bottom w:w="55" w:type="dxa"/>
              <w:end w:w="70" w:type="dxa"/>
            </w:tcMar>
          </w:tcPr>
          <w:p>
            <w:pPr>
              <w:spacing w:before="0" w:after="0" w:line="240" w:lineRule="auto"/>
            </w:pPr>
            <w:r/>
            <w:r>
              <w:rPr>
                <w:rFonts w:ascii="Aptos" w:hAnsi="Aptos"/>
                <w:b w:val="0"/>
                <w:color w:val="1F2937"/>
                <w:sz w:val="14"/>
              </w:rPr>
              <w:t>Untouched Muse</w:t>
            </w:r>
          </w:p>
        </w:tc>
        <w:tc>
          <w:tcPr>
            <w:tcW w:type="dxa" w:w="605"/>
            <w:vAlign w:val="center"/>
            <w:tcMar>
              <w:top w:w="55" w:type="dxa"/>
              <w:start w:w="70" w:type="dxa"/>
              <w:bottom w:w="55" w:type="dxa"/>
              <w:end w:w="70" w:type="dxa"/>
            </w:tcMar>
          </w:tcPr>
          <w:p>
            <w:pPr>
              <w:spacing w:before="0" w:after="0" w:line="240" w:lineRule="auto"/>
            </w:pPr>
            <w:r/>
            <w:r>
              <w:rPr>
                <w:rFonts w:ascii="Aptos" w:hAnsi="Aptos"/>
                <w:b w:val="0"/>
                <w:color w:val="1F2937"/>
                <w:sz w:val="14"/>
              </w:rPr>
              <w:t>191</w:t>
            </w:r>
          </w:p>
        </w:tc>
        <w:tc>
          <w:tcPr>
            <w:tcW w:type="dxa" w:w="1325"/>
            <w:vAlign w:val="center"/>
            <w:tcMar>
              <w:top w:w="55" w:type="dxa"/>
              <w:start w:w="70" w:type="dxa"/>
              <w:bottom w:w="55" w:type="dxa"/>
              <w:end w:w="70" w:type="dxa"/>
            </w:tcMar>
          </w:tcPr>
          <w:p>
            <w:pPr>
              <w:spacing w:before="0" w:after="0" w:line="240" w:lineRule="auto"/>
            </w:pPr>
            <w:r/>
            <w:r>
              <w:rPr>
                <w:rFonts w:ascii="Aptos" w:hAnsi="Aptos"/>
                <w:b w:val="0"/>
                <w:color w:val="1F2937"/>
                <w:sz w:val="14"/>
              </w:rPr>
              <w:t>Not scored</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0.2076</w:t>
            </w:r>
          </w:p>
        </w:tc>
        <w:tc>
          <w:tcPr>
            <w:tcW w:type="dxa" w:w="1181"/>
            <w:vAlign w:val="center"/>
            <w:tcMar>
              <w:top w:w="55" w:type="dxa"/>
              <w:start w:w="70" w:type="dxa"/>
              <w:bottom w:w="55" w:type="dxa"/>
              <w:end w:w="70" w:type="dxa"/>
            </w:tcMar>
          </w:tcPr>
          <w:p>
            <w:pPr>
              <w:spacing w:before="0" w:after="0" w:line="240" w:lineRule="auto"/>
            </w:pPr>
            <w:r/>
            <w:r>
              <w:rPr>
                <w:rFonts w:ascii="Aptos" w:hAnsi="Aptos"/>
                <w:b w:val="0"/>
                <w:color w:val="1F2937"/>
                <w:sz w:val="14"/>
              </w:rPr>
              <w:t>7.0%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0.0%</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9/191</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1/1</w:t>
            </w:r>
          </w:p>
        </w:tc>
      </w:tr>
      <w:tr>
        <w:trPr>
          <w:cantSplit/>
        </w:trPr>
        <w:tc>
          <w:tcPr>
            <w:tcW w:type="dxa" w:w="2189"/>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Sep. 17 clean adapter</w:t>
            </w:r>
          </w:p>
        </w:tc>
        <w:tc>
          <w:tcPr>
            <w:tcW w:type="dxa" w:w="60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191</w:t>
            </w:r>
          </w:p>
        </w:tc>
        <w:tc>
          <w:tcPr>
            <w:tcW w:type="dxa" w:w="132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Not scored</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0.3973</w:t>
            </w:r>
          </w:p>
        </w:tc>
        <w:tc>
          <w:tcPr>
            <w:tcW w:type="dxa" w:w="1181"/>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17.4%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24.1%</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4/191</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0/1</w:t>
            </w:r>
          </w:p>
        </w:tc>
      </w:tr>
      <w:tr>
        <w:trPr>
          <w:cantSplit/>
        </w:trPr>
        <w:tc>
          <w:tcPr>
            <w:tcW w:type="dxa" w:w="2189"/>
            <w:vAlign w:val="center"/>
            <w:tcMar>
              <w:top w:w="55" w:type="dxa"/>
              <w:start w:w="70" w:type="dxa"/>
              <w:bottom w:w="55" w:type="dxa"/>
              <w:end w:w="70" w:type="dxa"/>
            </w:tcMar>
          </w:tcPr>
          <w:p>
            <w:pPr>
              <w:spacing w:before="0" w:after="0" w:line="240" w:lineRule="auto"/>
            </w:pPr>
            <w:r/>
            <w:r>
              <w:rPr>
                <w:rFonts w:ascii="Aptos" w:hAnsi="Aptos"/>
                <w:b w:val="0"/>
                <w:color w:val="1F2937"/>
                <w:sz w:val="14"/>
              </w:rPr>
              <w:t>Sep. 18 adapter</w:t>
            </w:r>
          </w:p>
        </w:tc>
        <w:tc>
          <w:tcPr>
            <w:tcW w:type="dxa" w:w="605"/>
            <w:vAlign w:val="center"/>
            <w:tcMar>
              <w:top w:w="55" w:type="dxa"/>
              <w:start w:w="70" w:type="dxa"/>
              <w:bottom w:w="55" w:type="dxa"/>
              <w:end w:w="70" w:type="dxa"/>
            </w:tcMar>
          </w:tcPr>
          <w:p>
            <w:pPr>
              <w:spacing w:before="0" w:after="0" w:line="240" w:lineRule="auto"/>
            </w:pPr>
            <w:r/>
            <w:r>
              <w:rPr>
                <w:rFonts w:ascii="Aptos" w:hAnsi="Aptos"/>
                <w:b w:val="0"/>
                <w:color w:val="1F2937"/>
                <w:sz w:val="14"/>
              </w:rPr>
              <w:t>191</w:t>
            </w:r>
          </w:p>
        </w:tc>
        <w:tc>
          <w:tcPr>
            <w:tcW w:type="dxa" w:w="1325"/>
            <w:vAlign w:val="center"/>
            <w:tcMar>
              <w:top w:w="55" w:type="dxa"/>
              <w:start w:w="70" w:type="dxa"/>
              <w:bottom w:w="55" w:type="dxa"/>
              <w:end w:w="70" w:type="dxa"/>
            </w:tcMar>
          </w:tcPr>
          <w:p>
            <w:pPr>
              <w:spacing w:before="0" w:after="0" w:line="240" w:lineRule="auto"/>
            </w:pPr>
            <w:r/>
            <w:r>
              <w:rPr>
                <w:rFonts w:ascii="Aptos" w:hAnsi="Aptos"/>
                <w:b w:val="0"/>
                <w:color w:val="1F2937"/>
                <w:sz w:val="14"/>
              </w:rPr>
              <w:t>Not scored</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0.4083</w:t>
            </w:r>
          </w:p>
        </w:tc>
        <w:tc>
          <w:tcPr>
            <w:tcW w:type="dxa" w:w="1181"/>
            <w:vAlign w:val="center"/>
            <w:tcMar>
              <w:top w:w="55" w:type="dxa"/>
              <w:start w:w="70" w:type="dxa"/>
              <w:bottom w:w="55" w:type="dxa"/>
              <w:end w:w="70" w:type="dxa"/>
            </w:tcMar>
          </w:tcPr>
          <w:p>
            <w:pPr>
              <w:spacing w:before="0" w:after="0" w:line="240" w:lineRule="auto"/>
            </w:pPr>
            <w:r/>
            <w:r>
              <w:rPr>
                <w:rFonts w:ascii="Aptos" w:hAnsi="Aptos"/>
                <w:b w:val="0"/>
                <w:color w:val="1F2937"/>
                <w:sz w:val="14"/>
              </w:rPr>
              <w:t>17.4%</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23.0%</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4/191</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1/1</w:t>
            </w:r>
          </w:p>
        </w:tc>
      </w:tr>
    </w:tbl>
    <w:p>
      <w:pPr>
        <w:spacing w:after="20"/>
      </w:pPr>
    </w:p>
    <w:p>
      <w:pPr>
        <w:keepLines w:val="0"/>
        <w:widowControl/>
      </w:pPr>
      <w:r>
        <w:rPr>
          <w:b/>
        </w:rPr>
        <w:t xml:space="preserve">Formal comparison result. </w:t>
      </w:r>
      <w:r>
        <w:t>Relative to untouched Muse, the clean adapter improved answer-token F1 by 0.1897 and citation-URL presence by 24.08 percentage points. The fail-closed comparison still returned `pass=false`: both systems produced truncated outputs, and the clean adapter regressed on the one-record abstention check. The second adapter completed diagnostics but was not promoted after the pipeline stopped at this gate. No winner or deployment claim is made.</w:t>
      </w:r>
    </w:p>
    <w:p>
      <w:pPr>
        <w:keepLines w:val="0"/>
        <w:widowControl/>
      </w:pPr>
      <w:r>
        <w:rPr>
          <w:b/>
        </w:rPr>
        <w:t xml:space="preserve">Answer-key provenance. </w:t>
      </w:r>
      <w:r>
        <w:t>The 191 expected answers were generated by the same local Muse family used to create the training candidates. Document separation blocks passage overlap but not generator-style leakage. Following the instructor's feedback, the 30-record independent control in Appendix D was authored directly by the student against the source PDFs, with expected answer, exact quote, locator, source hash, and browser evidence. It is excluded from generation and training; post-freeze human factual scoring remains separate from the generated set.</w:t>
      </w:r>
    </w:p>
    <w:p>
      <w:pPr>
        <w:keepLines w:val="0"/>
        <w:widowControl/>
      </w:pPr>
      <w:r>
        <w:t>Evaluation design selected — Option 2. We retain the generated evaluation set and the 30-question student-authored control as distinct sets. The control questions and expected answers were authored and source-verified by the student, with screenshot evidence; the set remains excluded from training and from the generation pipeline. Model-output factual scoring is not claimed as complete. Retrieval scope for Milestone 1: the Open WebUI/ChromaDB RAG system has not yet been built or deployed, so a retrieval-on condition cannot be run or attributed in this milestone. Milestone 1 reports the available no-retrieval data/model diagnostics only. After the later UI/RAG milestone deploys the system, the planned experiment is the same-prompt 2×2 comparison—untouched base and ALPHIN, each with and without the same versioned retrieval context—with the two evaluation sets scored separately. This is a planned later-stage experiment, not evidence of a completed retrieval result; no retrieval benefit is claimed here.</w:t>
      </w:r>
    </w:p>
    <w:p>
      <w:pPr>
        <w:pStyle w:val="Heading1"/>
      </w:pPr>
      <w:r>
        <w:t>5. Selection and Justification</w:t>
      </w:r>
    </w:p>
    <w:p>
      <w:pPr>
        <w:keepLines w:val="0"/>
        <w:widowControl/>
      </w:pPr>
      <w:r>
        <w:rPr>
          <w:i w:val="0"/>
        </w:rPr>
        <w:t>The September 17 clean Muse QLoRA adapter is retained as the provisional model-selection candidate because it is the only adapter tied to the canonical 1,999-record ordinary-SFT artifact and exact 1,684/124/191 split. It fits the local/private deployment requirement, preserves rollback, leaves current policy facts in versioned retrieval, freezes unused vision layers, and is evaluated under fail-closed gates that prefer no promotion to an unsupported quality claim. It is not selected as a demonstrated winner: factual accuracy, unsupported-claim rate, locator accuracy, robust abstention, latency, and retrieval attribution remain unmeasured or incomplete.</w:t>
      </w:r>
    </w:p>
    <w:tbl>
      <w:tblPr>
        <w:tblStyle w:val="TableGrid"/>
        <w:tblW w:type="auto" w:w="0"/>
        <w:tblLook w:firstColumn="1" w:firstRow="1" w:lastColumn="0" w:lastRow="0" w:noHBand="0" w:noVBand="1" w:val="04A0"/>
      </w:tblPr>
      <w:tblGrid>
        <w:gridCol w:w="10166"/>
      </w:tblGrid>
      <w:tr>
        <w:tc>
          <w:tcPr>
            <w:tcW w:type="dxa" w:w="10166"/>
            <w:shd w:fill="F5F1DF"/>
            <w:tcMar>
              <w:top w:w="95" w:type="dxa"/>
              <w:start w:w="115" w:type="dxa"/>
              <w:bottom w:w="95" w:type="dxa"/>
              <w:end w:w="115" w:type="dxa"/>
            </w:tcMar>
          </w:tcPr>
          <w:p>
            <w:pPr>
              <w:spacing w:after="40"/>
            </w:pPr>
            <w:r/>
            <w:r>
              <w:rPr>
                <w:rFonts w:ascii="Aptos" w:hAnsi="Aptos"/>
                <w:b/>
                <w:color w:val="32528B"/>
                <w:sz w:val="20"/>
              </w:rPr>
              <w:t>Decision at the Evidence Cutoff</w:t>
            </w:r>
          </w:p>
          <w:p>
            <w:pPr>
              <w:spacing w:after="0" w:line="252" w:lineRule="auto"/>
            </w:pPr>
            <w:r>
              <w:rPr>
                <w:rFonts w:ascii="Aptos" w:hAnsi="Aptos"/>
                <w:color w:val="1F2937"/>
                <w:sz w:val="18"/>
              </w:rPr>
              <w:t>Proceed with evidence completion; do not promote an adapter. The lexical and citation diagnostics justify continued evaluation, not a quality claim. A well-measured null or negative result is an acceptable project outcome.</w:t>
            </w:r>
          </w:p>
        </w:tc>
      </w:tr>
    </w:tbl>
    <w:p>
      <w:pPr>
        <w:spacing w:after="20"/>
      </w:pPr>
    </w:p>
    <w:p>
      <w:r>
        <w:br w:type="page"/>
      </w:r>
    </w:p>
    <w:p>
      <w:pPr>
        <w:pStyle w:val="Heading1"/>
      </w:pPr>
      <w:r>
        <w:t>6. Interpretability and Leakage Check</w:t>
      </w:r>
    </w:p>
    <w:p>
      <w:pPr>
        <w:keepLines w:val="0"/>
        <w:widowControl/>
      </w:pPr>
      <w:r>
        <w:rPr>
          <w:i w:val="0"/>
        </w:rPr>
        <w:t>For an LLM, the practical interpretability equivalent is whether outputs change for business-relevant reasons when source context, dates, rule numbers, exceptions, negations, locator instructions, or misleading headers are removed. Those model ablations are specified but not yet measured. The completed structural checks are shown below. Appendix D also separates factual validation from generator-convention diagnostics by preserving a student-authored control that was never used to generate or train the candidates.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Check</w:t>
            </w:r>
          </w:p>
        </w:tc>
        <w:tc>
          <w:tcPr>
            <w:tcW w:type="dxa" w:w="44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Measured Result</w:t>
            </w:r>
          </w:p>
        </w:tc>
        <w:tc>
          <w:tcPr>
            <w:tcW w:type="dxa" w:w="367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Disposition</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Document overlap</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0 documents cross splits.</w:t>
            </w:r>
          </w:p>
        </w:tc>
        <w:tc>
          <w:tcPr>
            <w:tcW w:type="dxa" w:w="3672"/>
            <w:vAlign w:val="center"/>
            <w:tcMar>
              <w:top w:w="55" w:type="dxa"/>
              <w:start w:w="70" w:type="dxa"/>
              <w:bottom w:w="55" w:type="dxa"/>
              <w:end w:w="70" w:type="dxa"/>
            </w:tcMar>
          </w:tcPr>
          <w:p>
            <w:pPr>
              <w:spacing w:before="0" w:after="0" w:line="240" w:lineRule="auto"/>
            </w:pPr>
            <w:r/>
            <w:r>
              <w:rPr>
                <w:rFonts w:ascii="Aptos" w:hAnsi="Aptos"/>
                <w:b w:val="0"/>
                <w:color w:val="1F2937"/>
                <w:sz w:val="15"/>
              </w:rPr>
              <w:t>Pass.</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Exact duplicate questions</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 groups; 0 cross-split groups.</w:t>
            </w:r>
          </w:p>
        </w:tc>
        <w:tc>
          <w:tcPr>
            <w:tcW w:type="dxa" w:w="36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 exact question leakage observed.</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Exact duplicate answers</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68 groups; 16 cross-split groups covering 57 records.</w:t>
            </w:r>
          </w:p>
        </w:tc>
        <w:tc>
          <w:tcPr>
            <w:tcW w:type="dxa" w:w="3672"/>
            <w:vAlign w:val="center"/>
            <w:tcMar>
              <w:top w:w="55" w:type="dxa"/>
              <w:start w:w="70" w:type="dxa"/>
              <w:bottom w:w="55" w:type="dxa"/>
              <w:end w:w="70" w:type="dxa"/>
            </w:tcMar>
          </w:tcPr>
          <w:p>
            <w:pPr>
              <w:spacing w:before="0" w:after="0" w:line="240" w:lineRule="auto"/>
            </w:pPr>
            <w:r/>
            <w:r>
              <w:rPr>
                <w:rFonts w:ascii="Aptos" w:hAnsi="Aptos"/>
                <w:b w:val="0"/>
                <w:color w:val="1F2937"/>
                <w:sz w:val="15"/>
              </w:rPr>
              <w:t>Review or stratify before factual scoring.</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Near-duplicate questions</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 cross-split candidate at Jaccard ≥0.85 (train ↔ validation).</w:t>
            </w:r>
          </w:p>
        </w:tc>
        <w:tc>
          <w:tcPr>
            <w:tcW w:type="dxa" w:w="36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Human disposition required.</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Generator-convention leakage</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Generated test answers share the Muse generation family with training candidates.</w:t>
            </w:r>
          </w:p>
        </w:tc>
        <w:tc>
          <w:tcPr>
            <w:tcW w:type="dxa" w:w="3672"/>
            <w:vAlign w:val="center"/>
            <w:tcMar>
              <w:top w:w="55" w:type="dxa"/>
              <w:start w:w="70" w:type="dxa"/>
              <w:bottom w:w="55" w:type="dxa"/>
              <w:end w:w="70" w:type="dxa"/>
            </w:tcMar>
          </w:tcPr>
          <w:p>
            <w:pPr>
              <w:spacing w:before="0" w:after="0" w:line="240" w:lineRule="auto"/>
            </w:pPr>
            <w:r/>
            <w:r>
              <w:rPr>
                <w:rFonts w:ascii="Aptos" w:hAnsi="Aptos"/>
                <w:b w:val="0"/>
                <w:color w:val="1F2937"/>
                <w:sz w:val="15"/>
              </w:rPr>
              <w:t>Student-authored control required.</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Ablations</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yet run.</w:t>
            </w:r>
          </w:p>
        </w:tc>
        <w:tc>
          <w:tcPr>
            <w:tcW w:type="dxa" w:w="36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Required before claiming business-sensible model influence.</w:t>
            </w:r>
          </w:p>
        </w:tc>
      </w:tr>
    </w:tbl>
    <w:p>
      <w:pPr>
        <w:spacing w:after="20"/>
      </w:pPr>
    </w:p>
    <w:p>
      <w:pPr>
        <w:pStyle w:val="Heading1"/>
      </w:pPr>
      <w:r>
        <w:t>7. What Would Change My Mind</w:t>
      </w:r>
    </w:p>
    <w:p>
      <w:pPr>
        <w:keepLines w:val="0"/>
        <w:widowControl/>
      </w:pPr>
      <w:r>
        <w:rPr>
          <w:i w:val="0"/>
        </w:rPr>
        <w:t>I would reject or revise the adapter if human-scored factual accuracy fails to improve by at least 10 percentage points over untouched Muse; locator accuracy is below 95%; unsupported claims are 2% or higher; correct abstention is below 90%; safety routing is below 95%; general/format regression exceeds 3 points; latency prevents interactive use; the student-authored control in Appendix D disagrees materially with the generated set; or leakage and rights defects remain unresolved. A favorable lexical score cannot override these gates.</w:t>
      </w:r>
    </w:p>
    <w:p>
      <w:pPr>
        <w:keepLines w:val="0"/>
        <w:widowControl/>
      </w:pPr>
      <w:r>
        <w:rPr>
          <w:b/>
        </w:rPr>
        <w:t xml:space="preserve">Fallback trigger. </w:t>
      </w:r>
      <w:r>
        <w:t>If a merged or adapter-loaded ALPHIN artifact has not loaded and produced a complete validated answer by October 9, 2026, at 5:00 PM CDT, the adaptation critical path stops. The project proceeds with untouched Muse plus versioned retrieval on the same locked benchmark, and the adaptation attempt is reported as a documented negative result. If base-plus-retrieval and ALPHIN-plus-retrieval are similar, the conclusion will be that retrieval supplied most of the benefit and adaptation added little once grounding was available.</w:t>
      </w:r>
    </w:p>
    <w:p>
      <w:pPr>
        <w:pStyle w:val="Heading1"/>
      </w:pPr>
      <w:r>
        <w:t>8. Repository</w:t>
      </w:r>
    </w:p>
    <w:p>
      <w:pPr>
        <w:spacing w:after="100"/>
      </w:pPr>
      <w:r>
        <w:t>Public deliverables repository: https://github.com/porespellar/INAI6986_project_deliverables. Direct executed-notebook link: https://github.com/porespellar/INAI6986_project_deliverables/blob/main/notebook/milestone1_reproducibility.ipynb. The source PDFs are downloaded locally from official URLs with scripts/download_public_sources.py and verified against SHA-256; they are not committed because the official manuals can contain published contact details. The notebook rebuilds the public, endpoint-redacted 1,999-record SFT artifact from the 2,000 candidates, reproduces the 1,684/124/191 split, checks all downloaded PDF fingerprints, recomputes diagnostics from the saved per-prompt predictions, executes the tests, and emits the evidence ledger. This is a sanitized viewer copy with independent public Git history; the private working repository and its history are not mirrored.</w:t>
      </w:r>
    </w:p>
    <w:p>
      <w:r>
        <w:br w:type="page"/>
      </w:r>
    </w:p>
    <w:p>
      <w:pPr>
        <w:pStyle w:val="Heading1"/>
      </w:pPr>
      <w:r>
        <w:t>AI Use Disclosure</w:t>
      </w:r>
    </w:p>
    <w:p>
      <w:pPr>
        <w:keepLines w:val="0"/>
        <w:widowControl/>
      </w:pPr>
      <w:r>
        <w:rPr>
          <w:b/>
        </w:rPr>
        <w:t xml:space="preserve">AI assistance. </w:t>
      </w:r>
      <w:r>
        <w:t>Hermes Agent using GPT-5.6 Sol 900k and GPT-5.6 Luna assisted with comparing the assignment rubric and instructor feedback, organizing evidence, drafting and formatting this revision, updating the reproducibility notebook, and running document/code quality checks. Local Muse endpoints—not ChatGPT or a cloud teacher—generated the candidate question-and-answer records from approved public source text. Hermes Agent did not independently choose the capstone, authorize the data scope, create the required student-authored control, adjudicate factual accuracy as a human reviewer, approve training data, or invent model results.</w:t>
      </w:r>
    </w:p>
    <w:p>
      <w:pPr>
        <w:keepLines w:val="0"/>
        <w:widowControl/>
      </w:pPr>
      <w:r>
        <w:t>Human authorship, engineering, and oversight. J.O. conceived AUtoMLy and ALPHIN and made the substantive decisions about the problem, architecture, model family, source corpus, QLoRA strategy, split design, success metrics, local-only boundary, retrieval separation, review controls, fallback, and proceed/stop/retry/quarantine actions. He configured the hardware, containers, services, schedules, storage, and training environment; directed AI tools and local agents; diagnosed and resolved data, tokenizer, checkpoint, service, GPU-memory, adapter, and evaluation failures; reviewed source support and evidence; and remains responsible for all corrections, conclusions, approvals, and presentation.</w:t>
      </w:r>
    </w:p>
    <w:p>
      <w:pPr>
        <w:keepLines w:val="0"/>
        <w:widowControl/>
      </w:pPr>
      <w:r>
        <w:t>Responsibility boundary. AI-produced wording, code suggestions, and analyses were treated as drafts. Material claims in this report are tied to local files, hashes, executed notebook outputs, or measured services. J.O. authorized project actions and accepts final responsibility. The instructor's permission to fine-tune an LLM authorized this Deep Learning path; it did not transfer authorship or relax the evidence standard.</w:t>
      </w:r>
    </w:p>
    <w:tbl>
      <w:tblPr>
        <w:tblStyle w:val="TableGrid"/>
        <w:tblW w:type="auto" w:w="0"/>
        <w:tblLook w:firstColumn="1" w:firstRow="1" w:lastColumn="0" w:lastRow="0" w:noHBand="0" w:noVBand="1" w:val="04A0"/>
      </w:tblPr>
      <w:tblGrid>
        <w:gridCol w:w="10166"/>
      </w:tblGrid>
      <w:tr>
        <w:tc>
          <w:tcPr>
            <w:tcW w:type="dxa" w:w="10166"/>
            <w:shd w:fill="E8F3EC"/>
            <w:tcMar>
              <w:top w:w="95" w:type="dxa"/>
              <w:start w:w="115" w:type="dxa"/>
              <w:bottom w:w="95" w:type="dxa"/>
              <w:end w:w="115" w:type="dxa"/>
            </w:tcMar>
          </w:tcPr>
          <w:p>
            <w:pPr>
              <w:spacing w:after="40"/>
            </w:pPr>
            <w:r/>
            <w:r>
              <w:rPr>
                <w:rFonts w:ascii="Aptos" w:hAnsi="Aptos"/>
                <w:b/>
                <w:color w:val="32528B"/>
                <w:sz w:val="20"/>
              </w:rPr>
              <w:t>Verification Performed</w:t>
            </w:r>
          </w:p>
          <w:p>
            <w:pPr>
              <w:spacing w:after="0" w:line="252" w:lineRule="auto"/>
            </w:pPr>
            <w:r>
              <w:t>The private source repo recorded 194 tests / 197 subtests at the cutoff. The sanitized public bundle reruns its 11 included focused tests; the notebook also verifies 138 downloaded PDF hashes, deterministic rebuild, and saved evaluation hashes. PDFs were rendered for layout QA.</w:t>
            </w:r>
          </w:p>
        </w:tc>
      </w:tr>
    </w:tbl>
    <w:p>
      <w:pPr>
        <w:spacing w:after="20"/>
      </w:pPr>
    </w:p>
    <w:p>
      <w:r>
        <w:br w:type="page"/>
      </w:r>
    </w:p>
    <w:p>
      <w:pPr>
        <w:pStyle w:val="Heading1"/>
      </w:pPr>
      <w:r>
        <w:t>Appendix A — Progress Through September 22, 2026</w:t>
      </w:r>
    </w:p>
    <w:p>
      <w:pPr>
        <w:keepLines w:val="0"/>
        <w:widowControl/>
      </w:pPr>
      <w:r>
        <w:rPr>
          <w:i w:val="0"/>
        </w:rPr>
        <w:t>This chronology includes verified data, training, evaluation, repository, backup, and model-development activity through the stated evidence cutoff.</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Date</w:t>
            </w:r>
          </w:p>
        </w:tc>
        <w:tc>
          <w:tcPr>
            <w:tcW w:type="dxa" w:w="309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Activity</w:t>
            </w:r>
          </w:p>
        </w:tc>
        <w:tc>
          <w:tcPr>
            <w:tcW w:type="dxa" w:w="63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Verified Result / Current Meaning</w:t>
            </w:r>
          </w:p>
        </w:tc>
      </w:tr>
      <w:tr>
        <w:trPr>
          <w:cantSplit/>
        </w:trPr>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Sep. 14</w:t>
            </w:r>
          </w:p>
        </w:tc>
        <w:tc>
          <w:tcPr>
            <w:tcW w:type="dxa" w:w="3096"/>
            <w:vAlign w:val="center"/>
            <w:tcMar>
              <w:top w:w="55" w:type="dxa"/>
              <w:start w:w="70" w:type="dxa"/>
              <w:bottom w:w="55" w:type="dxa"/>
              <w:end w:w="70" w:type="dxa"/>
            </w:tcMar>
          </w:tcPr>
          <w:p>
            <w:pPr>
              <w:spacing w:before="0" w:after="0" w:line="240" w:lineRule="auto"/>
            </w:pPr>
            <w:r/>
            <w:r>
              <w:rPr>
                <w:rFonts w:ascii="Aptos" w:hAnsi="Aptos"/>
                <w:b w:val="0"/>
                <w:color w:val="1F2937"/>
                <w:sz w:val="15"/>
              </w:rPr>
              <w:t>Source and candidate preparation</w:t>
            </w:r>
          </w:p>
        </w:tc>
        <w:tc>
          <w:tcPr>
            <w:tcW w:type="dxa" w:w="6336"/>
            <w:vAlign w:val="center"/>
            <w:tcMar>
              <w:top w:w="55" w:type="dxa"/>
              <w:start w:w="70" w:type="dxa"/>
              <w:bottom w:w="55" w:type="dxa"/>
              <w:end w:w="70" w:type="dxa"/>
            </w:tcMar>
          </w:tcPr>
          <w:p>
            <w:pPr>
              <w:spacing w:before="0" w:after="0" w:line="240" w:lineRule="auto"/>
            </w:pPr>
            <w:r/>
            <w:r>
              <w:rPr>
                <w:rFonts w:ascii="Aptos" w:hAnsi="Aptos"/>
                <w:b w:val="0"/>
                <w:color w:val="1F2937"/>
                <w:sz w:val="15"/>
              </w:rPr>
              <w:t>138 PDFs / 2,433 pages frozen; 2,000 local Muse-family candidates generated with provenance.</w:t>
            </w:r>
          </w:p>
        </w:tc>
      </w:tr>
      <w:tr>
        <w:trPr>
          <w:cantSplit/>
        </w:trPr>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Sep. 16</w:t>
            </w:r>
          </w:p>
        </w:tc>
        <w:tc>
          <w:tcPr>
            <w:tcW w:type="dxa" w:w="30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First 211-step run</w:t>
            </w:r>
          </w:p>
        </w:tc>
        <w:tc>
          <w:tcPr>
            <w:tcW w:type="dxa" w:w="63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Completed on a mixed-generator file; later rejected because 326 rows came from retired Qwen. Procedural evidence only.</w:t>
            </w:r>
          </w:p>
        </w:tc>
      </w:tr>
      <w:tr>
        <w:trPr>
          <w:cantSplit/>
        </w:trPr>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Sep. 17</w:t>
            </w:r>
          </w:p>
        </w:tc>
        <w:tc>
          <w:tcPr>
            <w:tcW w:type="dxa" w:w="3096"/>
            <w:vAlign w:val="center"/>
            <w:tcMar>
              <w:top w:w="55" w:type="dxa"/>
              <w:start w:w="70" w:type="dxa"/>
              <w:bottom w:w="55" w:type="dxa"/>
              <w:end w:w="70" w:type="dxa"/>
            </w:tcMar>
          </w:tcPr>
          <w:p>
            <w:pPr>
              <w:spacing w:before="0" w:after="0" w:line="240" w:lineRule="auto"/>
            </w:pPr>
            <w:r/>
            <w:r>
              <w:rPr>
                <w:rFonts w:ascii="Aptos" w:hAnsi="Aptos"/>
                <w:b w:val="0"/>
                <w:color w:val="1F2937"/>
                <w:sz w:val="15"/>
              </w:rPr>
              <w:t>Canonical cleanup and corrective training</w:t>
            </w:r>
          </w:p>
        </w:tc>
        <w:tc>
          <w:tcPr>
            <w:tcW w:type="dxa" w:w="6336"/>
            <w:vAlign w:val="center"/>
            <w:tcMar>
              <w:top w:w="55" w:type="dxa"/>
              <w:start w:w="70" w:type="dxa"/>
              <w:bottom w:w="55" w:type="dxa"/>
              <w:end w:w="70" w:type="dxa"/>
            </w:tcMar>
          </w:tcPr>
          <w:p>
            <w:pPr>
              <w:spacing w:before="0" w:after="0" w:line="240" w:lineRule="auto"/>
            </w:pPr>
            <w:r/>
            <w:r>
              <w:rPr>
                <w:rFonts w:ascii="Aptos" w:hAnsi="Aptos"/>
                <w:b w:val="0"/>
                <w:color w:val="1F2937"/>
                <w:sz w:val="15"/>
              </w:rPr>
              <w:t>Blank case quarantined; 1,999 ordinary records; 1,684/124/191 split; clean Muse-only adapter completed 211 steps; train loss 0.6201, validation loss 0.5722; loss is not factual accuracy.</w:t>
            </w:r>
          </w:p>
        </w:tc>
      </w:tr>
      <w:tr>
        <w:trPr>
          <w:cantSplit/>
        </w:trPr>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Sep. 18</w:t>
            </w:r>
          </w:p>
        </w:tc>
        <w:tc>
          <w:tcPr>
            <w:tcW w:type="dxa" w:w="30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Second all-Muse run</w:t>
            </w:r>
          </w:p>
        </w:tc>
        <w:tc>
          <w:tcPr>
            <w:tcW w:type="dxa" w:w="63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Completed 211 steps; train loss 0.6169, validation loss 0.5736. Operational 1,685-row lineage kept separate from canonical clean evidence.</w:t>
            </w:r>
          </w:p>
        </w:tc>
      </w:tr>
      <w:tr>
        <w:trPr>
          <w:cantSplit/>
        </w:trPr>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Sep. 21</w:t>
            </w:r>
          </w:p>
        </w:tc>
        <w:tc>
          <w:tcPr>
            <w:tcW w:type="dxa" w:w="3096"/>
            <w:vAlign w:val="center"/>
            <w:tcMar>
              <w:top w:w="55" w:type="dxa"/>
              <w:start w:w="70" w:type="dxa"/>
              <w:bottom w:w="55" w:type="dxa"/>
              <w:end w:w="70" w:type="dxa"/>
            </w:tcMar>
          </w:tcPr>
          <w:p>
            <w:pPr>
              <w:spacing w:before="0" w:after="0" w:line="240" w:lineRule="auto"/>
            </w:pPr>
            <w:r/>
            <w:r>
              <w:rPr>
                <w:rFonts w:ascii="Aptos" w:hAnsi="Aptos"/>
                <w:b w:val="0"/>
                <w:color w:val="1F2937"/>
                <w:sz w:val="15"/>
              </w:rPr>
              <w:t>Repository, backups, adapter freeze</w:t>
            </w:r>
          </w:p>
        </w:tc>
        <w:tc>
          <w:tcPr>
            <w:tcW w:type="dxa" w:w="6336"/>
            <w:vAlign w:val="center"/>
            <w:tcMar>
              <w:top w:w="55" w:type="dxa"/>
              <w:start w:w="70" w:type="dxa"/>
              <w:bottom w:w="55" w:type="dxa"/>
              <w:end w:w="70" w:type="dxa"/>
            </w:tcMar>
          </w:tcPr>
          <w:p>
            <w:pPr>
              <w:spacing w:before="0" w:after="0" w:line="240" w:lineRule="auto"/>
            </w:pPr>
            <w:r/>
            <w:r>
              <w:rPr>
                <w:rFonts w:ascii="Aptos" w:hAnsi="Aptos"/>
                <w:b w:val="0"/>
                <w:color w:val="1F2937"/>
                <w:sz w:val="15"/>
              </w:rPr>
              <w:t>Private source-of-record repository consolidated; two adapters frozen; seven model-backup release assets published with manifest/checksums; same-split evaluation started.</w:t>
            </w:r>
          </w:p>
        </w:tc>
      </w:tr>
      <w:tr>
        <w:trPr>
          <w:cantSplit/>
        </w:trPr>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Sep. 22</w:t>
            </w:r>
          </w:p>
        </w:tc>
        <w:tc>
          <w:tcPr>
            <w:tcW w:type="dxa" w:w="30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512-token diagnostic evaluation</w:t>
            </w:r>
          </w:p>
        </w:tc>
        <w:tc>
          <w:tcPr>
            <w:tcW w:type="dxa" w:w="63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Untouched Muse and both adapters completed 191 outputs. Formal clean-adapter comparison blocked on truncation and abstention gates; no winner, merge, promotion, or factual-accuracy claim.</w:t>
            </w:r>
          </w:p>
        </w:tc>
      </w:tr>
    </w:tbl>
    <w:p>
      <w:pPr>
        <w:spacing w:after="20"/>
      </w:pPr>
    </w:p>
    <w:p>
      <w:pPr>
        <w:pStyle w:val="Heading2"/>
      </w:pPr>
      <w:r>
        <w:t>Current Model-Development State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Workstream</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State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6"/>
              </w:rPr>
              <w:t>Data preparation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6"/>
              </w:rPr>
              <w:t>Deterministic pass after quarantine; human factual approval and quality-flag disposition remain open.</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Training</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Two all-Muse QLoRA adapters completed; canonical clean adapter is the provisional candidate.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6"/>
              </w:rPr>
              <w:t>Evaluation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6"/>
              </w:rPr>
              <w:t>Same-split engineering diagnostics complete; human factual scoring and retrieval attribution incomplete.</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Merge / serving</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Current BF16 merge and promoted runtime not complete.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6"/>
              </w:rPr>
              <w:t>Repository / recovery</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6"/>
              </w:rPr>
              <w:t>Private GitHub source of record active; backup release and SHA-256 restore manifest present.</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Tests</w:t>
            </w:r>
          </w:p>
        </w:tc>
        <w:tc>
          <w:tcPr>
            <w:tcW w:type="dxa" w:w="8136"/>
            <w:vAlign w:val="center"/>
            <w:tcMar>
              <w:top w:w="55" w:type="dxa"/>
              <w:start w:w="70" w:type="dxa"/>
              <w:bottom w:w="55" w:type="dxa"/>
              <w:end w:w="70" w:type="dxa"/>
            </w:tcMar>
            <w:shd w:fill="F6F8FB"/>
          </w:tcPr>
          <w:p>
            <w:r>
              <w:t>Public bundle: 11 included focused tests pass in the notebook. Historical private source repository: 194 tests / 197 subtests passed at the evidence cutoff.</w:t>
            </w:r>
          </w:p>
        </w:tc>
      </w:tr>
    </w:tbl>
    <w:p>
      <w:pPr>
        <w:spacing w:after="20"/>
      </w:pPr>
    </w:p>
    <w:p>
      <w:r>
        <w:br w:type="page"/>
      </w:r>
    </w:p>
    <w:p>
      <w:pPr>
        <w:pStyle w:val="Heading1"/>
      </w:pPr>
      <w:r>
        <w:t>Appendix B — Evidence Status and Remaining Gates</w:t>
      </w:r>
    </w:p>
    <w:p>
      <w:pPr>
        <w:keepLines w:val="0"/>
        <w:widowControl/>
      </w:pPr>
      <w:r>
        <w:rPr>
          <w:i w:val="0"/>
        </w:rPr>
        <w:t>The independent control-set requirement is now satisfied by Appendix D. The table distinguishes completed evidence from the remaining post-freeze scoring and performance gates required before final model selection.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6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Open Gate</w:t>
            </w:r>
          </w:p>
        </w:tc>
        <w:tc>
          <w:tcPr>
            <w:tcW w:type="dxa" w:w="799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Required Completion Evidence</w:t>
            </w:r>
          </w:p>
        </w:tc>
      </w:tr>
      <w:tr>
        <w:trPr>
          <w:cantSplit/>
        </w:trPr>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Independent answer-key control</w:t>
            </w:r>
          </w:p>
        </w:tc>
        <w:tc>
          <w:tcPr>
            <w:tcW w:type="dxa" w:w="7992"/>
            <w:vAlign w:val="center"/>
            <w:tcMar>
              <w:top w:w="55" w:type="dxa"/>
              <w:start w:w="70" w:type="dxa"/>
              <w:bottom w:w="55" w:type="dxa"/>
              <w:end w:w="70" w:type="dxa"/>
            </w:tcMar>
          </w:tcPr>
          <w:p>
            <w:pPr>
              <w:spacing w:before="0" w:after="0" w:line="240" w:lineRule="auto"/>
            </w:pPr>
            <w:r/>
            <w:r>
              <w:rPr>
                <w:rFonts w:ascii="Aptos" w:hAnsi="Aptos"/>
                <w:b w:val="0"/>
                <w:color w:val="1F2937"/>
                <w:sz w:val="15"/>
              </w:rPr>
              <w:t>Complete: 30 student-authored records SA-001–SA-030 are reproduced in Appendix D with expected answer, exact quote, URL, page, source hash, snapshot date, browser evidence, and exclusion from generation/training.</w:t>
            </w:r>
          </w:p>
        </w:tc>
      </w:tr>
      <w:tr>
        <w:trPr>
          <w:cantSplit/>
        </w:trPr>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Primary metric</w:t>
            </w:r>
          </w:p>
        </w:tc>
        <w:tc>
          <w:tcPr>
            <w:tcW w:type="dxa" w:w="79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Remaining: human factual adjudication for untouched Muse and both adapters on identical generated and student-authored sets; report correct/n and percentage separately for each set.</w:t>
            </w:r>
          </w:p>
        </w:tc>
      </w:tr>
      <w:tr>
        <w:trPr>
          <w:cantSplit/>
        </w:trPr>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Operational baseline</w:t>
            </w:r>
          </w:p>
        </w:tc>
        <w:tc>
          <w:tcPr>
            <w:tcW w:type="dxa" w:w="7992"/>
            <w:vAlign w:val="center"/>
            <w:tcMar>
              <w:top w:w="55" w:type="dxa"/>
              <w:start w:w="70" w:type="dxa"/>
              <w:bottom w:w="55" w:type="dxa"/>
              <w:end w:w="70" w:type="dxa"/>
            </w:tcMar>
          </w:tcPr>
          <w:p>
            <w:pPr>
              <w:spacing w:before="0" w:after="0" w:line="240" w:lineRule="auto"/>
            </w:pPr>
            <w:r>
              <w:t>Completed for the 30-item control as a source-verified manual review; chat timestamps estimate 42m06s (~1m24s/item). Treat this as an approximate elapsed-time proxy only—not as a controlled stopwatch or blind-search benchmark.</w:t>
            </w:r>
            <w:r>
              <w:rPr>
                <w:rFonts w:ascii="Aptos" w:hAnsi="Aptos"/>
                <w:b w:val="0"/>
                <w:color w:val="1F2937"/>
                <w:sz w:val="15"/>
              </w:rPr>
            </w:r>
          </w:p>
        </w:tc>
      </w:tr>
      <w:tr>
        <w:trPr>
          <w:cantSplit/>
        </w:trPr>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Retrieval attribution</w:t>
            </w:r>
          </w:p>
        </w:tc>
        <w:tc>
          <w:tcPr>
            <w:tcW w:type="dxa" w:w="7992"/>
            <w:vAlign w:val="center"/>
            <w:tcMar>
              <w:top w:w="55" w:type="dxa"/>
              <w:start w:w="70" w:type="dxa"/>
              <w:bottom w:w="55" w:type="dxa"/>
              <w:end w:w="70" w:type="dxa"/>
            </w:tcMar>
            <w:shd w:fill="F6F8FB"/>
          </w:tcPr>
          <w:p>
            <w:pPr>
              <w:spacing w:before="0" w:after="0" w:line="240" w:lineRule="auto"/>
            </w:pPr>
            <w:r>
              <w:t>Deferred to the later UI/RAG milestone: after Open WebUI and ChromaDB retrieval are built and deployed, compare base and ALPHIN with and without identical versioned retrieval context on the locked prompts. This condition is not available in Milestone 1; no retrieval result or attribution is claimed.</w:t>
            </w:r>
          </w:p>
        </w:tc>
      </w:tr>
      <w:tr>
        <w:trPr>
          <w:cantSplit/>
        </w:trPr>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Interpretability equivalent</w:t>
            </w:r>
          </w:p>
        </w:tc>
        <w:tc>
          <w:tcPr>
            <w:tcW w:type="dxa" w:w="7992"/>
            <w:vAlign w:val="center"/>
            <w:tcMar>
              <w:top w:w="55" w:type="dxa"/>
              <w:start w:w="70" w:type="dxa"/>
              <w:bottom w:w="55" w:type="dxa"/>
              <w:end w:w="70" w:type="dxa"/>
            </w:tcMar>
          </w:tcPr>
          <w:p>
            <w:pPr>
              <w:spacing w:before="0" w:after="0" w:line="240" w:lineRule="auto"/>
            </w:pPr>
            <w:r/>
            <w:r>
              <w:rPr>
                <w:rFonts w:ascii="Aptos" w:hAnsi="Aptos"/>
                <w:b w:val="0"/>
                <w:color w:val="1F2937"/>
                <w:sz w:val="15"/>
              </w:rPr>
              <w:t>Measured context/date/rule/exception/negation/locator/header ablations with paired outputs and representative failures.</w:t>
            </w:r>
          </w:p>
        </w:tc>
      </w:tr>
      <w:tr>
        <w:trPr>
          <w:cantSplit/>
        </w:trPr>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Quality-review disposition</w:t>
            </w:r>
          </w:p>
        </w:tc>
        <w:tc>
          <w:tcPr>
            <w:tcW w:type="dxa" w:w="79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Review the one near-duplicate candidate, 16 cross-split duplicate-answer groups, and flagged quality classes using a documented individual or sampled-category protocol.</w:t>
            </w:r>
          </w:p>
        </w:tc>
      </w:tr>
      <w:tr>
        <w:trPr>
          <w:cantSplit/>
        </w:trPr>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Safety denominator</w:t>
            </w:r>
          </w:p>
        </w:tc>
        <w:tc>
          <w:tcPr>
            <w:tcW w:type="dxa" w:w="7992"/>
            <w:vAlign w:val="center"/>
            <w:tcMar>
              <w:top w:w="55" w:type="dxa"/>
              <w:start w:w="70" w:type="dxa"/>
              <w:bottom w:w="55" w:type="dxa"/>
              <w:end w:w="70" w:type="dxa"/>
            </w:tcMar>
          </w:tcPr>
          <w:p>
            <w:pPr>
              <w:spacing w:before="0" w:after="0" w:line="240" w:lineRule="auto"/>
            </w:pPr>
            <w:r/>
            <w:r>
              <w:rPr>
                <w:rFonts w:ascii="Aptos" w:hAnsi="Aptos"/>
                <w:b w:val="0"/>
                <w:color w:val="1F2937"/>
                <w:sz w:val="15"/>
              </w:rPr>
              <w:t>Expand beyond one unanswerable case before interpreting a percentage target; preserve prohibited-use and insufficient-context cases separately.</w:t>
            </w:r>
          </w:p>
        </w:tc>
      </w:tr>
      <w:tr>
        <w:trPr>
          <w:cantSplit/>
        </w:trPr>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 promotion</w:t>
            </w:r>
          </w:p>
        </w:tc>
        <w:tc>
          <w:tcPr>
            <w:tcW w:type="dxa" w:w="79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Validate adapter load or merge, complete answer, runtime controls, and rollback; promotion remains blocked if any gate fails.</w:t>
            </w:r>
          </w:p>
        </w:tc>
      </w:tr>
      <w:tr>
        <w:trPr>
          <w:cantSplit/>
        </w:trPr>
        <w:tc>
          <w:tcPr>
            <w:tcW w:type="dxa" w:w="2664"/>
            <w:vAlign w:val="center"/>
            <w:tcMar>
              <w:top w:w="55" w:type="dxa"/>
              <w:start w:w="70" w:type="dxa"/>
              <w:bottom w:w="55" w:type="dxa"/>
              <w:end w:w="70" w:type="dxa"/>
            </w:tcMar>
          </w:tcPr>
          <w:p>
            <w:r>
              <w:t>Public repository access</w:t>
            </w:r>
          </w:p>
        </w:tc>
        <w:tc>
          <w:tcPr>
            <w:tcW w:type="dxa" w:w="7992"/>
            <w:vAlign w:val="center"/>
            <w:tcMar>
              <w:top w:w="55" w:type="dxa"/>
              <w:start w:w="70" w:type="dxa"/>
              <w:bottom w:w="55" w:type="dxa"/>
              <w:end w:w="70" w:type="dxa"/>
            </w:tcMar>
          </w:tcPr>
          <w:p>
            <w:r>
              <w:t>Public viewer copy is available at https://github.com/porespellar/INAI6986_project_deliverables; anyone may view or clone it.</w:t>
            </w:r>
          </w:p>
        </w:tc>
      </w:tr>
    </w:tbl>
    <w:p>
      <w:pPr>
        <w:spacing w:after="20"/>
      </w:pPr>
    </w:p>
    <w:p>
      <w:pPr>
        <w:keepLines w:val="0"/>
        <w:widowControl/>
      </w:pPr>
      <w:r>
        <w:rPr>
          <w:b/>
        </w:rPr>
        <w:t xml:space="preserve">Why this matters. </w:t>
      </w:r>
      <w:r>
        <w:t>The instructor explicitly warned against treating a completed pipeline as model success. The current evidence already shows why: lexical and citation diagnostics improved, yet the canonical clean adapter failed the one-record abstention check. The independent control set closes the answer-key provenance gap, but scoring it alongside the generated set is still required before declaring a factual-accuracy result.</w:t>
      </w:r>
    </w:p>
    <w:p>
      <w:r>
        <w:br w:type="page"/>
      </w:r>
    </w:p>
    <w:p>
      <w:pPr>
        <w:pStyle w:val="Heading1"/>
      </w:pPr>
      <w:r>
        <w:t>Appendix C — Reproducibility and Evidence Ledger</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0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Evidence</w:t>
            </w:r>
          </w:p>
        </w:tc>
        <w:tc>
          <w:tcPr>
            <w:tcW w:type="dxa" w:w="76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Repository-Relative Path / Fingerprint</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Source manifest</w:t>
            </w:r>
          </w:p>
        </w:tc>
        <w:tc>
          <w:tcPr>
            <w:tcW w:type="dxa" w:w="7632"/>
            <w:vAlign w:val="center"/>
            <w:tcMar>
              <w:top w:w="55" w:type="dxa"/>
              <w:start w:w="70" w:type="dxa"/>
              <w:bottom w:w="55" w:type="dxa"/>
              <w:end w:w="70" w:type="dxa"/>
            </w:tcMar>
          </w:tcPr>
          <w:p>
            <w:r>
              <w:t>data/source/2026-09-14/source_manifest.jsonl — dd2e9146…6c84</w:t>
            </w:r>
          </w:p>
        </w:tc>
      </w:tr>
      <w:tr>
        <w:trPr>
          <w:cantSplit/>
        </w:trPr>
        <w:tc>
          <w:tcPr>
            <w:tcW w:type="dxa" w:w="3024"/>
            <w:vAlign w:val="center"/>
            <w:tcMar>
              <w:top w:w="55" w:type="dxa"/>
              <w:start w:w="70" w:type="dxa"/>
              <w:bottom w:w="55" w:type="dxa"/>
              <w:end w:w="70" w:type="dxa"/>
            </w:tcMar>
            <w:shd w:fill="F6F8FB"/>
          </w:tcPr>
          <w:p>
            <w:r>
              <w:t>Source PDFs</w:t>
            </w:r>
          </w:p>
        </w:tc>
        <w:tc>
          <w:tcPr>
            <w:tcW w:type="dxa" w:w="7632"/>
            <w:vAlign w:val="center"/>
            <w:tcMar>
              <w:top w:w="55" w:type="dxa"/>
              <w:start w:w="70" w:type="dxa"/>
              <w:bottom w:w="55" w:type="dxa"/>
              <w:end w:w="70" w:type="dxa"/>
            </w:tcMar>
            <w:shd w:fill="F6F8FB"/>
          </w:tcPr>
          <w:p>
            <w:r>
              <w:t>Not committed; download and verify with scripts/download_public_sources.py (138 official PDFs / 2,433 pages).</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All-Muse candidates</w:t>
            </w:r>
          </w:p>
        </w:tc>
        <w:tc>
          <w:tcPr>
            <w:tcW w:type="dxa" w:w="7632"/>
            <w:vAlign w:val="center"/>
            <w:tcMar>
              <w:top w:w="55" w:type="dxa"/>
              <w:start w:w="70" w:type="dxa"/>
              <w:bottom w:w="55" w:type="dxa"/>
              <w:end w:w="70" w:type="dxa"/>
            </w:tcMar>
          </w:tcPr>
          <w:p>
            <w:r>
              <w:t>data/curated/2026-09-14/sft_train_candidates.jsonl — 44d07cf9…8099 (local endpoint identifiers redacted)</w:t>
            </w:r>
          </w:p>
        </w:tc>
      </w:tr>
      <w:tr>
        <w:trPr>
          <w:cantSplit/>
        </w:trPr>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Canonical ordinary-SFT file</w:t>
            </w:r>
          </w:p>
        </w:tc>
        <w:tc>
          <w:tcPr>
            <w:tcW w:type="dxa" w:w="7632"/>
            <w:vAlign w:val="center"/>
            <w:tcMar>
              <w:top w:w="55" w:type="dxa"/>
              <w:start w:w="70" w:type="dxa"/>
              <w:bottom w:w="55" w:type="dxa"/>
              <w:end w:w="70" w:type="dxa"/>
            </w:tcMar>
            <w:shd w:fill="F6F8FB"/>
          </w:tcPr>
          <w:p>
            <w:r>
              <w:t>artifacts/milestone1/2026-09-17/approved_candidates.jsonl — 98ff96d7…602a (public endpoint-redacted SFT artifact)</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Clean training summary</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artifacts/training/2026-09-17-muse-only-rerun.json — adapter b27cca00…ac0</w:t>
            </w:r>
          </w:p>
        </w:tc>
      </w:tr>
      <w:tr>
        <w:trPr>
          <w:cantSplit/>
        </w:trPr>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Current progress snapshot</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artifacts/milestone1/2026-09-22/progress_snapshot.json</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Current evaluation snapshot</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artifacts/milestone1/2026-09-22/evaluation_snapshot.json — test set 89e747ac…d334</w:t>
            </w:r>
          </w:p>
        </w:tc>
      </w:tr>
      <w:tr>
        <w:trPr>
          <w:cantSplit/>
        </w:trPr>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Per-prompt evaluation rows</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artifacts/evaluation/2026-09-18/{base,adapter-muse-only,adapter-2026-09-18}/ — 573 ordinary + 3 safety rows</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Student-authored control set</w:t>
            </w:r>
          </w:p>
        </w:tc>
        <w:tc>
          <w:tcPr>
            <w:tcW w:type="dxa" w:w="7632"/>
            <w:vAlign w:val="center"/>
            <w:tcMar>
              <w:top w:w="55" w:type="dxa"/>
              <w:start w:w="70" w:type="dxa"/>
              <w:bottom w:w="55" w:type="dxa"/>
              <w:end w:w="70" w:type="dxa"/>
            </w:tcMar>
          </w:tcPr>
          <w:p>
            <w:r>
              <w:t>data/curated/student-authored-control-set-2026-09-22.jsonl — 2017c262…4310c; rendered in Appendix D</w:t>
            </w:r>
          </w:p>
        </w:tc>
      </w:tr>
      <w:tr>
        <w:trPr>
          <w:cantSplit/>
        </w:trPr>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Executed notebook</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notebook/milestone1_reproducibility.ipynb</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Preparation / tests</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scripts/milestone1_data_prep.py; tests/test_milestone1_data_prep.py; tests/test_evaluate_milestone1_api.py</w:t>
            </w:r>
          </w:p>
        </w:tc>
      </w:tr>
      <w:tr>
        <w:trPr>
          <w:cantSplit/>
        </w:trPr>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Evidence source commit</w:t>
            </w:r>
          </w:p>
        </w:tc>
        <w:tc>
          <w:tcPr>
            <w:tcW w:type="dxa" w:w="7632"/>
            <w:vAlign w:val="center"/>
            <w:tcMar>
              <w:top w:w="55" w:type="dxa"/>
              <w:start w:w="70" w:type="dxa"/>
              <w:bottom w:w="55" w:type="dxa"/>
              <w:end w:w="70" w:type="dxa"/>
            </w:tcMar>
            <w:shd w:fill="F6F8FB"/>
          </w:tcPr>
          <w:p>
            <w:r>
              <w:t>Fresh, sanitized public-repository history; no private-repository commits carried over.</w:t>
            </w:r>
          </w:p>
        </w:tc>
      </w:tr>
    </w:tbl>
    <w:p>
      <w:pPr>
        <w:spacing w:after="20"/>
      </w:pPr>
    </w:p>
    <w:p>
      <w:pPr>
        <w:pStyle w:val="Heading2"/>
      </w:pPr>
      <w:r>
        <w:t>Selected Sources</w:t>
      </w:r>
    </w:p>
    <w:p>
      <w:pPr>
        <w:keepLines w:val="0"/>
        <w:widowControl/>
        <w:spacing w:after="60"/>
      </w:pPr>
      <w:r>
        <w:rPr>
          <w:i w:val="0"/>
          <w:color w:val="5B6573"/>
          <w:sz w:val="16"/>
        </w:rPr>
        <w:t>[1] Assignment 3: Milestone 1 — Data &amp; Model Selection, course rubric and template, due September 27, 2026.</w:t>
      </w:r>
    </w:p>
    <w:p>
      <w:pPr>
        <w:keepLines w:val="0"/>
        <w:widowControl/>
        <w:spacing w:after="60"/>
      </w:pPr>
      <w:r>
        <w:t>[2] the course instructor, Proposal Resubmission Feedback: answer-key provenance, retrieval-only fallback, model-family declaration, and anticipated null result.</w:t>
      </w:r>
    </w:p>
    <w:p>
      <w:pPr>
        <w:keepLines w:val="0"/>
        <w:widowControl/>
        <w:spacing w:after="60"/>
      </w:pPr>
      <w:r>
        <w:t>[3] the course instructor, PM Plan &amp; Progress Log 1 Feedback: student-authored control, dated fallback, procedural-only status of the earlier run, quality review, and repository remote.</w:t>
      </w:r>
    </w:p>
    <w:p>
      <w:pPr>
        <w:keepLines w:val="0"/>
        <w:widowControl/>
        <w:spacing w:after="60"/>
      </w:pPr>
      <w:r>
        <w:rPr>
          <w:i w:val="0"/>
          <w:color w:val="5B6573"/>
          <w:sz w:val="16"/>
        </w:rPr>
        <w:t>[4] Alabama Medicaid Administrative Code: https://medicaid.alabama.gov/content/9.0_Resources/9.2_Administrative_Code.aspx</w:t>
      </w:r>
    </w:p>
    <w:p>
      <w:pPr>
        <w:keepLines w:val="0"/>
        <w:widowControl/>
        <w:spacing w:after="60"/>
      </w:pPr>
      <w:r>
        <w:rPr>
          <w:i w:val="0"/>
          <w:color w:val="5B6573"/>
          <w:sz w:val="16"/>
        </w:rPr>
        <w:t>[5] Alabama Medicaid Provider Manuals: https://medicaid.alabama.gov/content/Gated/7.6.1G_Provider_Manuals.aspx</w:t>
      </w:r>
    </w:p>
    <w:p>
      <w:pPr>
        <w:keepLines w:val="0"/>
        <w:widowControl/>
        <w:spacing w:after="60"/>
      </w:pPr>
      <w:r>
        <w:rPr>
          <w:i w:val="0"/>
          <w:color w:val="5B6573"/>
          <w:sz w:val="16"/>
        </w:rPr>
        <w:t>[6] Muse Glimmer 30B model card: https://huggingface.co/meta-models/Muse-Glimmer-30B</w:t>
      </w:r>
    </w:p>
    <w:p>
      <w:pPr>
        <w:keepLines w:val="0"/>
        <w:widowControl/>
        <w:spacing w:after="60"/>
      </w:pPr>
      <w:r>
        <w:rPr>
          <w:i w:val="0"/>
          <w:color w:val="5B6573"/>
          <w:sz w:val="16"/>
        </w:rPr>
        <w:t>[7] Hu et al., LoRA: Low-Rank Adaptation of Large Language Models: https://arxiv.org/abs/2106.09685</w:t>
      </w:r>
    </w:p>
    <w:p>
      <w:r>
        <w:br w:type="page"/>
      </w:r>
    </w:p>
    <w:p>
      <w:pPr>
        <w:pStyle w:val="Heading1"/>
      </w:pPr>
      <w:r>
        <w:t>Appendix D — Student-Authored Independent Control Set</w:t>
      </w:r>
    </w:p>
    <w:p>
      <w:pPr>
        <w:keepLines w:val="0"/>
        <w:widowControl/>
      </w:pPr>
      <w:r>
        <w:t>This appendix contains the completed 30-question independent control set required by the instructor feedback. J.O. wrote the final question wording directly against the frozen Alabama Medicaid source PDFs. These records were kept outside model generation, training, candidate selection, and answer-key generation. Each item preserves its expected answer, exact supporting quote, source locator, source URL, source SHA-256, snapshot date, browser search anchor, and PDF search/highlight evidence. The set is reserved for post-freeze human factual scoring alongside the generated evaluation set.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7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Control-set field</w:t>
            </w:r>
          </w:p>
        </w:tc>
        <w:tc>
          <w:tcPr>
            <w:tcW w:type="dxa" w:w="79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Verified value</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5"/>
              </w:rPr>
              <w:t>Completed record count</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5"/>
              </w:rPr>
              <w:t>30</w:t>
            </w:r>
          </w:p>
        </w:tc>
      </w:tr>
      <w:tr>
        <w:trPr>
          <w:cantSplit/>
        </w:trPr>
        <w:tc>
          <w:tcPr>
            <w:tcW w:type="dxa" w:w="27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Record range</w:t>
            </w:r>
          </w:p>
        </w:tc>
        <w:tc>
          <w:tcPr>
            <w:tcW w:type="dxa" w:w="79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SA-001 through SA-030</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5"/>
              </w:rPr>
              <w:t>Authorship boundary</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5"/>
              </w:rPr>
              <w:t>Student-authored final wording; no model-generated questions are included.</w:t>
            </w:r>
          </w:p>
        </w:tc>
      </w:tr>
      <w:tr>
        <w:trPr>
          <w:cantSplit/>
        </w:trPr>
        <w:tc>
          <w:tcPr>
            <w:tcW w:type="dxa" w:w="27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Training / answer-key boundary</w:t>
            </w:r>
          </w:p>
        </w:tc>
        <w:tc>
          <w:tcPr>
            <w:tcW w:type="dxa" w:w="79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Excluded from training data and from the local generation pipeline that produced the 191-record engineering key.</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5"/>
              </w:rPr>
              <w:t>Source boundary</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5"/>
              </w:rPr>
              <w:t>Frozen public Alabama Medicaid Administrative Code and Provider Manual PDFs, snapshot 2026-09-14.</w:t>
            </w:r>
          </w:p>
        </w:tc>
      </w:tr>
      <w:tr>
        <w:trPr>
          <w:cantSplit/>
        </w:trPr>
        <w:tc>
          <w:tcPr>
            <w:tcW w:type="dxa" w:w="27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Dataset fingerprint</w:t>
            </w:r>
          </w:p>
        </w:tc>
        <w:tc>
          <w:tcPr>
            <w:tcW w:type="dxa" w:w="7920"/>
            <w:vAlign w:val="center"/>
            <w:tcMar>
              <w:top w:w="55" w:type="dxa"/>
              <w:start w:w="70" w:type="dxa"/>
              <w:bottom w:w="55" w:type="dxa"/>
              <w:end w:w="70" w:type="dxa"/>
            </w:tcMar>
            <w:shd w:fill="F6F8FB"/>
          </w:tcPr>
          <w:p>
            <w:r>
              <w:t>SHA-256 2017c262745982b5d0ad49eeaa2bfb793ea3c365cf6a69eeef9f9e838a34310c</w:t>
            </w:r>
          </w:p>
        </w:tc>
      </w:tr>
      <w:tr>
        <w:trPr>
          <w:cantSplit/>
        </w:trPr>
        <w:tc>
          <w:tcPr>
            <w:tcW w:type="dxa" w:w="2736"/>
            <w:vAlign w:val="center"/>
            <w:tcMar>
              <w:top w:w="55" w:type="dxa"/>
              <w:start w:w="70" w:type="dxa"/>
              <w:bottom w:w="55" w:type="dxa"/>
              <w:end w:w="70" w:type="dxa"/>
            </w:tcMar>
          </w:tcPr>
          <w:p>
            <w:pPr>
              <w:spacing w:before="0" w:after="0" w:line="240" w:lineRule="auto"/>
            </w:pPr>
            <w:r/>
            <w:r>
              <w:rPr>
                <w:rFonts w:ascii="Aptos" w:hAnsi="Aptos"/>
                <w:b w:val="0"/>
                <w:color w:val="1F2937"/>
                <w:sz w:val="15"/>
              </w:rPr>
              <w:t>Scoring status</w:t>
            </w:r>
          </w:p>
        </w:tc>
        <w:tc>
          <w:tcPr>
            <w:tcW w:type="dxa" w:w="7920"/>
            <w:vAlign w:val="center"/>
            <w:tcMar>
              <w:top w:w="55" w:type="dxa"/>
              <w:start w:w="70" w:type="dxa"/>
              <w:bottom w:w="55" w:type="dxa"/>
              <w:end w:w="70" w:type="dxa"/>
            </w:tcMar>
          </w:tcPr>
          <w:p>
            <w:pPr>
              <w:spacing w:before="0" w:after="0" w:line="240" w:lineRule="auto"/>
            </w:pPr>
            <w:r/>
            <w:r>
              <w:rPr>
                <w:rFonts w:ascii="Aptos" w:hAnsi="Aptos"/>
                <w:b w:val="0"/>
                <w:color w:val="1F2937"/>
                <w:sz w:val="15"/>
              </w:rPr>
              <w:t>Authored and source-verified; post-freeze human factual scoring remains a separate evaluation step.</w:t>
            </w:r>
          </w:p>
        </w:tc>
      </w:tr>
    </w:tbl>
    <w:p>
      <w:pPr>
        <w:spacing w:after="20"/>
      </w:pPr>
    </w:p>
    <w:p>
      <w:r>
        <w:br w:type="page"/>
      </w:r>
    </w:p>
    <w:p>
      <w:pPr>
        <w:keepNext/>
        <w:spacing w:before="0" w:after="40"/>
      </w:pPr>
      <w:r>
        <w:rPr>
          <w:rFonts w:ascii="Aptos Display" w:hAnsi="Aptos Display"/>
          <w:b/>
          <w:color w:val="32528B"/>
          <w:sz w:val="27"/>
        </w:rPr>
        <w:t>SA-001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page number in the table of contents lists Rule 560-X-1-.07, Provider Rights and Responsibilities?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Page 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560-X-1-.07 Provider Rights and Responsibilities 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9.2_Adm_Code_Chap_1_General_3-18-21.pdf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https://medicaid.alabama.gov/documents/9.0_Resources/9.2_Administrative_Code/9.2_Adm_Code_Chap_1_General_3-18-21.pdf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560-X-1-.07</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1febe8438b5e38699d6ab1f94fda02eccc33cba2e8599b62f9e986b82e4aafc4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3455322"/>
            <wp:docPr id="1" name="Picture 1"/>
            <wp:cNvGraphicFramePr>
              <a:graphicFrameLocks noChangeAspect="1"/>
            </wp:cNvGraphicFramePr>
            <a:graphic>
              <a:graphicData uri="http://schemas.openxmlformats.org/drawingml/2006/picture">
                <pic:pic>
                  <pic:nvPicPr>
                    <pic:cNvPr id="0" name="SA-001_source_highlight.png"/>
                    <pic:cNvPicPr/>
                  </pic:nvPicPr>
                  <pic:blipFill>
                    <a:blip r:embed="rId13"/>
                    <a:stretch>
                      <a:fillRect/>
                    </a:stretch>
                  </pic:blipFill>
                  <pic:spPr>
                    <a:xfrm>
                      <a:off x="0" y="0"/>
                      <a:ext cx="4343400" cy="3455322"/>
                    </a:xfrm>
                    <a:prstGeom prst="rect"/>
                  </pic:spPr>
                </pic:pic>
              </a:graphicData>
            </a:graphic>
          </wp:inline>
        </w:drawing>
      </w:r>
    </w:p>
    <w:p>
      <w:pPr>
        <w:spacing w:before="0" w:after="0"/>
        <w:jc w:val="center"/>
      </w:pPr>
      <w:r>
        <w:rPr>
          <w:rFonts w:ascii="Aptos" w:hAnsi="Aptos"/>
          <w:i/>
          <w:color w:val="5B6573"/>
          <w:sz w:val="13"/>
        </w:rPr>
        <w:t>PDF viewer page 1  |  Search anchor: 560-X-1-.07</w:t>
      </w:r>
    </w:p>
    <w:p>
      <w:r>
        <w:br w:type="page"/>
      </w:r>
    </w:p>
    <w:p>
      <w:pPr>
        <w:keepNext/>
        <w:spacing w:before="0" w:after="40"/>
      </w:pPr>
      <w:r>
        <w:rPr>
          <w:rFonts w:ascii="Aptos Display" w:hAnsi="Aptos Display"/>
          <w:b/>
          <w:color w:val="32528B"/>
          <w:sz w:val="27"/>
        </w:rPr>
        <w:t>SA-002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page number in the table of contents lists Rule 560-X-28-.02, Summary of State Law Regarding Advanced Directives?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Page 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560-X-28-.02 Summary of State Law Regarding Advanced Directives 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9.2_Adm_Code_Chap_28_Alabama_Medicaid_Forms_7-26-18.pdf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https://medicaid.alabama.gov/documents/9.0_Resources/9.2_Administrative_Code/9.2_Adm_Code_Chap_28_Alabama_Medicaid_Forms_7-26-18.pdf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560-X-28-.02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ef30588f3d8916fc44d2a10ccdedd756cd5108abcd31dbea8dad008881d70985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3455322"/>
            <wp:docPr id="2" name="Picture 2"/>
            <wp:cNvGraphicFramePr>
              <a:graphicFrameLocks noChangeAspect="1"/>
            </wp:cNvGraphicFramePr>
            <a:graphic>
              <a:graphicData uri="http://schemas.openxmlformats.org/drawingml/2006/picture">
                <pic:pic>
                  <pic:nvPicPr>
                    <pic:cNvPr id="0" name="SA-002_source_highlight.png"/>
                    <pic:cNvPicPr/>
                  </pic:nvPicPr>
                  <pic:blipFill>
                    <a:blip r:embed="rId14"/>
                    <a:stretch>
                      <a:fillRect/>
                    </a:stretch>
                  </pic:blipFill>
                  <pic:spPr>
                    <a:xfrm>
                      <a:off x="0" y="0"/>
                      <a:ext cx="4343400" cy="3455322"/>
                    </a:xfrm>
                    <a:prstGeom prst="rect"/>
                  </pic:spPr>
                </pic:pic>
              </a:graphicData>
            </a:graphic>
          </wp:inline>
        </w:drawing>
      </w:r>
    </w:p>
    <w:p>
      <w:pPr>
        <w:spacing w:before="0" w:after="0"/>
        <w:jc w:val="center"/>
      </w:pPr>
      <w:r>
        <w:rPr>
          <w:rFonts w:ascii="Aptos" w:hAnsi="Aptos"/>
          <w:i/>
          <w:color w:val="5B6573"/>
          <w:sz w:val="13"/>
        </w:rPr>
        <w:t>PDF viewer page 1  |  Search anchor: 560-X-28-.02</w:t>
      </w:r>
    </w:p>
    <w:p>
      <w:r>
        <w:br w:type="page"/>
      </w:r>
    </w:p>
    <w:p>
      <w:pPr>
        <w:keepNext/>
        <w:spacing w:before="0" w:after="40"/>
      </w:pPr>
      <w:r>
        <w:rPr>
          <w:rFonts w:ascii="Aptos Display" w:hAnsi="Aptos Display"/>
          <w:b/>
          <w:color w:val="32528B"/>
          <w:sz w:val="27"/>
        </w:rPr>
        <w:t>SA-003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page number in the table of contents lists Rule 560-X-49-.07, Copayment?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Page 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560-X-49-.07 Copayment (Cost-sharing) 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9.2_Adm_Code_Chap_49_Certified_NP_Program_9-23-19.pdf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https://medicaid.alabama.gov/documents/9.0_Resources/9.2_Administrative_Code/9.2_Adm_Code_Chap_49_Certified_NP_Program_9-23-19.pdf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560-X-49-.07</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2f7e7e18cf5f882e3c90f8179309947f6d01805df0c8484762d94d1120a7a064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3455322"/>
            <wp:docPr id="3" name="Picture 3"/>
            <wp:cNvGraphicFramePr>
              <a:graphicFrameLocks noChangeAspect="1"/>
            </wp:cNvGraphicFramePr>
            <a:graphic>
              <a:graphicData uri="http://schemas.openxmlformats.org/drawingml/2006/picture">
                <pic:pic>
                  <pic:nvPicPr>
                    <pic:cNvPr id="0" name="SA-003_source_highlight.png"/>
                    <pic:cNvPicPr/>
                  </pic:nvPicPr>
                  <pic:blipFill>
                    <a:blip r:embed="rId15"/>
                    <a:stretch>
                      <a:fillRect/>
                    </a:stretch>
                  </pic:blipFill>
                  <pic:spPr>
                    <a:xfrm>
                      <a:off x="0" y="0"/>
                      <a:ext cx="4343400" cy="3455322"/>
                    </a:xfrm>
                    <a:prstGeom prst="rect"/>
                  </pic:spPr>
                </pic:pic>
              </a:graphicData>
            </a:graphic>
          </wp:inline>
        </w:drawing>
      </w:r>
    </w:p>
    <w:p>
      <w:pPr>
        <w:spacing w:before="0" w:after="0"/>
        <w:jc w:val="center"/>
      </w:pPr>
      <w:r>
        <w:rPr>
          <w:rFonts w:ascii="Aptos" w:hAnsi="Aptos"/>
          <w:i/>
          <w:color w:val="5B6573"/>
          <w:sz w:val="13"/>
        </w:rPr>
        <w:t>PDF viewer page 1  |  Search anchor: 560-X-49-.07</w:t>
      </w:r>
    </w:p>
    <w:p>
      <w:r>
        <w:br w:type="page"/>
      </w:r>
    </w:p>
    <w:p>
      <w:pPr>
        <w:keepNext/>
        <w:spacing w:before="0" w:after="40"/>
      </w:pPr>
      <w:r>
        <w:rPr>
          <w:rFonts w:ascii="Aptos Display" w:hAnsi="Aptos Display"/>
          <w:b/>
          <w:color w:val="32528B"/>
          <w:sz w:val="27"/>
        </w:rPr>
        <w:t>SA-004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page number in the table of contents lists Rule 560-X-50-.03, Recipient Eligibility?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Page 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560-X-50-.03 Recipient Eligibility 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9.2_Adm_Code_Chap_50_Preventive_Health_Ed_Program.pdf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https://medicaid.alabama.gov/documents/9.0_Resources/9.2_Administrative_Code/9.2_Adm_Code_Chap_50_Preventive_Health_Ed_Program.pdf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560-X-50-.03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e8545bbf634daee6536fe96fe20ba914512ec4e05d14e7345f39e8ab6b355899</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3455322"/>
            <wp:docPr id="4" name="Picture 4"/>
            <wp:cNvGraphicFramePr>
              <a:graphicFrameLocks noChangeAspect="1"/>
            </wp:cNvGraphicFramePr>
            <a:graphic>
              <a:graphicData uri="http://schemas.openxmlformats.org/drawingml/2006/picture">
                <pic:pic>
                  <pic:nvPicPr>
                    <pic:cNvPr id="0" name="SA-004_source_highlight.png"/>
                    <pic:cNvPicPr/>
                  </pic:nvPicPr>
                  <pic:blipFill>
                    <a:blip r:embed="rId16"/>
                    <a:stretch>
                      <a:fillRect/>
                    </a:stretch>
                  </pic:blipFill>
                  <pic:spPr>
                    <a:xfrm>
                      <a:off x="0" y="0"/>
                      <a:ext cx="4343400" cy="3455322"/>
                    </a:xfrm>
                    <a:prstGeom prst="rect"/>
                  </pic:spPr>
                </pic:pic>
              </a:graphicData>
            </a:graphic>
          </wp:inline>
        </w:drawing>
      </w:r>
    </w:p>
    <w:p>
      <w:pPr>
        <w:spacing w:before="0" w:after="0"/>
        <w:jc w:val="center"/>
      </w:pPr>
      <w:r>
        <w:rPr>
          <w:rFonts w:ascii="Aptos" w:hAnsi="Aptos"/>
          <w:i/>
          <w:color w:val="5B6573"/>
          <w:sz w:val="13"/>
        </w:rPr>
        <w:t>PDF viewer page 1  |  Search anchor: 560-X-50-.03</w:t>
      </w:r>
    </w:p>
    <w:p>
      <w:r>
        <w:br w:type="page"/>
      </w:r>
    </w:p>
    <w:p>
      <w:pPr>
        <w:keepNext/>
        <w:spacing w:before="0" w:after="40"/>
      </w:pPr>
      <w:r>
        <w:rPr>
          <w:rFonts w:ascii="Aptos Display" w:hAnsi="Aptos Display"/>
          <w:b/>
          <w:color w:val="32528B"/>
          <w:sz w:val="27"/>
        </w:rPr>
        <w:t>SA-005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Medicaid provider type is assigned to Licensed Social Workers?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11, Crossovers Only.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Social Workers are assigned a provider type of 11 (Crossovers Only).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Apr26_23.pdf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https://medicaid.alabama.gov/content/Gated/7.6.1G_Provider_Manuals/7.6.1.2G_Apr_2026/Apr26_23.pdf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Social Workers are assigned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6c6a8cda335c0758f3cec8f72c2ba1911c6912674348eb40bba5bdf4926baa78</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3455322"/>
            <wp:docPr id="5" name="Picture 5"/>
            <wp:cNvGraphicFramePr>
              <a:graphicFrameLocks noChangeAspect="1"/>
            </wp:cNvGraphicFramePr>
            <a:graphic>
              <a:graphicData uri="http://schemas.openxmlformats.org/drawingml/2006/picture">
                <pic:pic>
                  <pic:nvPicPr>
                    <pic:cNvPr id="0" name="SA-005_source_highlight.png"/>
                    <pic:cNvPicPr/>
                  </pic:nvPicPr>
                  <pic:blipFill>
                    <a:blip r:embed="rId17"/>
                    <a:stretch>
                      <a:fillRect/>
                    </a:stretch>
                  </pic:blipFill>
                  <pic:spPr>
                    <a:xfrm>
                      <a:off x="0" y="0"/>
                      <a:ext cx="4343400" cy="3455322"/>
                    </a:xfrm>
                    <a:prstGeom prst="rect"/>
                  </pic:spPr>
                </pic:pic>
              </a:graphicData>
            </a:graphic>
          </wp:inline>
        </w:drawing>
      </w:r>
    </w:p>
    <w:p>
      <w:pPr>
        <w:spacing w:before="0" w:after="0"/>
        <w:jc w:val="center"/>
      </w:pPr>
      <w:r>
        <w:rPr>
          <w:rFonts w:ascii="Aptos" w:hAnsi="Aptos"/>
          <w:i/>
          <w:color w:val="5B6573"/>
          <w:sz w:val="13"/>
        </w:rPr>
        <w:t>PDF viewer page 1  |  Search anchor: Licensed Social Workers are assigned</w:t>
      </w:r>
    </w:p>
    <w:p>
      <w:r>
        <w:br w:type="page"/>
      </w:r>
    </w:p>
    <w:p>
      <w:pPr>
        <w:keepNext/>
        <w:spacing w:before="0" w:after="40"/>
      </w:pPr>
      <w:r>
        <w:rPr>
          <w:rFonts w:ascii="Aptos Display" w:hAnsi="Aptos Display"/>
          <w:b/>
          <w:color w:val="32528B"/>
          <w:sz w:val="27"/>
        </w:rPr>
        <w:t>SA-006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therapy providers?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17, Therapy.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Therapy providers are assigned a provider type of 17 (Therapy).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https://medicaid.alabama.gov/content/Gated/7.6.1G_Provider_Manuals/7.6.1.2G_Apr_2026/Apr26_37.pdf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of 17</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7dda7fb89e4a91948f14446db97cc59dd65dae17d2f1f322acca2d6eaabb9145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6" name="Picture 6"/>
            <wp:cNvGraphicFramePr>
              <a:graphicFrameLocks noChangeAspect="1"/>
            </wp:cNvGraphicFramePr>
            <a:graphic>
              <a:graphicData uri="http://schemas.openxmlformats.org/drawingml/2006/picture">
                <pic:pic>
                  <pic:nvPicPr>
                    <pic:cNvPr id="0" name="SA-006_source_highlight.png"/>
                    <pic:cNvPicPr/>
                  </pic:nvPicPr>
                  <pic:blipFill>
                    <a:blip r:embed="rId18"/>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provider type of 17</w:t>
      </w:r>
    </w:p>
    <w:p>
      <w:r>
        <w:br w:type="page"/>
      </w:r>
    </w:p>
    <w:p>
      <w:pPr>
        <w:keepNext/>
        <w:spacing w:before="0" w:after="40"/>
      </w:pPr>
      <w:r>
        <w:rPr>
          <w:rFonts w:ascii="Aptos Display" w:hAnsi="Aptos Display"/>
          <w:b/>
          <w:color w:val="32528B"/>
          <w:sz w:val="27"/>
        </w:rPr>
        <w:t>SA-007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SA-007</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Remote Patient Monitoring providers?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08, Remote Patient Monitoring.</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Remote Patient Monitoring providers are assigned a provider type of 08 (Remote Patient Monitoring) and provider specialty 085 or 086.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Jul26_111.pdf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https://medicaid.alabama.gov/content/Gated/7.6.1G_Provider_Manuals/7.6.1.3G_July_2026/Jul26_111.pdf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Remote Patient Monitoring providers are assigned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950bc66ef512fc94ba54df0951c2593a3dbf85fa97473b22a6558705d9af23fd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7" name="Picture 7"/>
            <wp:cNvGraphicFramePr>
              <a:graphicFrameLocks noChangeAspect="1"/>
            </wp:cNvGraphicFramePr>
            <a:graphic>
              <a:graphicData uri="http://schemas.openxmlformats.org/drawingml/2006/picture">
                <pic:pic>
                  <pic:nvPicPr>
                    <pic:cNvPr id="0" name="SA-007_source_highlight.png"/>
                    <pic:cNvPicPr/>
                  </pic:nvPicPr>
                  <pic:blipFill>
                    <a:blip r:embed="rId19"/>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1  |  Search anchor: Remote Patient Monitoring providers are assigned</w:t>
      </w:r>
    </w:p>
    <w:p>
      <w:r>
        <w:br w:type="page"/>
      </w:r>
    </w:p>
    <w:p>
      <w:pPr>
        <w:keepNext/>
        <w:spacing w:before="0" w:after="40"/>
      </w:pPr>
      <w:r>
        <w:rPr>
          <w:rFonts w:ascii="Aptos Display" w:hAnsi="Aptos Display"/>
          <w:b/>
          <w:color w:val="32528B"/>
          <w:sz w:val="27"/>
        </w:rPr>
        <w:t>SA-008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SA-008</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physicians?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31, Physician.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Physicians are assigned a provider type of 31 (Physician).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Physicians are assigned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5816647d97b5acb0fc6d84fb6ded0f609aa3e7418072d8d93c35b3a442879d04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8" name="Picture 8"/>
            <wp:cNvGraphicFramePr>
              <a:graphicFrameLocks noChangeAspect="1"/>
            </wp:cNvGraphicFramePr>
            <a:graphic>
              <a:graphicData uri="http://schemas.openxmlformats.org/drawingml/2006/picture">
                <pic:pic>
                  <pic:nvPicPr>
                    <pic:cNvPr id="0" name="SA-008_source_highlight.png"/>
                    <pic:cNvPicPr/>
                  </pic:nvPicPr>
                  <pic:blipFill>
                    <a:blip r:embed="rId20"/>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Physicians are assigned</w:t>
      </w:r>
    </w:p>
    <w:p>
      <w:r>
        <w:br w:type="page"/>
      </w:r>
    </w:p>
    <w:p>
      <w:pPr>
        <w:keepNext/>
        <w:spacing w:before="0" w:after="40"/>
      </w:pPr>
      <w:r>
        <w:rPr>
          <w:rFonts w:ascii="Aptos Display" w:hAnsi="Aptos Display"/>
          <w:b/>
          <w:color w:val="32528B"/>
          <w:sz w:val="27"/>
        </w:rPr>
        <w:t>SA-009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SA-009</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preventive health education providers?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55.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Preventive health education providers are assigned a provider type of 55 (Private Prenatal Education).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Jul26_30.pdf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https://medicaid.alabama.gov/content/Gated/7.6.1G_Provider_Manuals/7.6.1.3G_July_2026/Jul26_30.pdf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Preventive health education providers are assigned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eb21fa6f0eabfb878cdc053a14730b96bf8b3763ed00c2336c9f4795f56f295e</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9" name="Picture 9"/>
            <wp:cNvGraphicFramePr>
              <a:graphicFrameLocks noChangeAspect="1"/>
            </wp:cNvGraphicFramePr>
            <a:graphic>
              <a:graphicData uri="http://schemas.openxmlformats.org/drawingml/2006/picture">
                <pic:pic>
                  <pic:nvPicPr>
                    <pic:cNvPr id="0" name="SA-009_source_highlight.png"/>
                    <pic:cNvPicPr/>
                  </pic:nvPicPr>
                  <pic:blipFill>
                    <a:blip r:embed="rId21"/>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1  |  Search anchor: Preventive health education providers are assigned</w:t>
      </w:r>
    </w:p>
    <w:p>
      <w:r>
        <w:br w:type="page"/>
      </w:r>
    </w:p>
    <w:p>
      <w:pPr>
        <w:keepNext/>
        <w:spacing w:before="0" w:after="40"/>
      </w:pPr>
      <w:r>
        <w:rPr>
          <w:rFonts w:ascii="Aptos Display" w:hAnsi="Aptos Display"/>
          <w:b/>
          <w:color w:val="32528B"/>
          <w:sz w:val="27"/>
        </w:rPr>
        <w:t>SA-010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psychology providers?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54, Psychologist.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Psychology providers are assigned a provider type of 54 (Psychologist).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Psychology providers are assigned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0" name="Picture 10"/>
            <wp:cNvGraphicFramePr>
              <a:graphicFrameLocks noChangeAspect="1"/>
            </wp:cNvGraphicFramePr>
            <a:graphic>
              <a:graphicData uri="http://schemas.openxmlformats.org/drawingml/2006/picture">
                <pic:pic>
                  <pic:nvPicPr>
                    <pic:cNvPr id="0" name="SA-010_source_highlight.png"/>
                    <pic:cNvPicPr/>
                  </pic:nvPicPr>
                  <pic:blipFill>
                    <a:blip r:embed="rId22"/>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Psychology providers are assigned</w:t>
      </w:r>
    </w:p>
    <w:p>
      <w:r>
        <w:br w:type="page"/>
      </w:r>
    </w:p>
    <w:p>
      <w:pPr>
        <w:keepNext/>
        <w:spacing w:before="0" w:after="40"/>
      </w:pPr>
      <w:r>
        <w:rPr>
          <w:rFonts w:ascii="Aptos Display" w:hAnsi="Aptos Display"/>
          <w:b/>
          <w:color w:val="32528B"/>
          <w:sz w:val="27"/>
        </w:rPr>
        <w:t>SA-011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Behavioral Health providers?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07, Behavioral Health.</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Behavioral Health providers are assigned a provider type of 07 (Behavioral Health).</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of 07</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1" name="Picture 11"/>
            <wp:cNvGraphicFramePr>
              <a:graphicFrameLocks noChangeAspect="1"/>
            </wp:cNvGraphicFramePr>
            <a:graphic>
              <a:graphicData uri="http://schemas.openxmlformats.org/drawingml/2006/picture">
                <pic:pic>
                  <pic:nvPicPr>
                    <pic:cNvPr id="0" name="SA-011_source_highlight.png"/>
                    <pic:cNvPicPr/>
                  </pic:nvPicPr>
                  <pic:blipFill>
                    <a:blip r:embed="rId23"/>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provider type of 07</w:t>
      </w:r>
    </w:p>
    <w:p>
      <w:r>
        <w:br w:type="page"/>
      </w:r>
    </w:p>
    <w:p>
      <w:pPr>
        <w:keepNext/>
        <w:spacing w:before="0" w:after="40"/>
      </w:pPr>
      <w:r>
        <w:rPr>
          <w:rFonts w:ascii="Aptos Display" w:hAnsi="Aptos Display"/>
          <w:b/>
          <w:color w:val="32528B"/>
          <w:sz w:val="27"/>
        </w:rPr>
        <w:t>SA-012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Psychology providers?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Psychology specialty code 112.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Psychology (112)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Psychology (112)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2" name="Picture 12"/>
            <wp:cNvGraphicFramePr>
              <a:graphicFrameLocks noChangeAspect="1"/>
            </wp:cNvGraphicFramePr>
            <a:graphic>
              <a:graphicData uri="http://schemas.openxmlformats.org/drawingml/2006/picture">
                <pic:pic>
                  <pic:nvPicPr>
                    <pic:cNvPr id="0" name="SA-012_source_highlight.png"/>
                    <pic:cNvPicPr/>
                  </pic:nvPicPr>
                  <pic:blipFill>
                    <a:blip r:embed="rId24"/>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Psychology (112)</w:t>
      </w:r>
    </w:p>
    <w:p>
      <w:r>
        <w:br w:type="page"/>
      </w:r>
    </w:p>
    <w:p>
      <w:pPr>
        <w:keepNext/>
        <w:spacing w:before="0" w:after="40"/>
      </w:pPr>
      <w:r>
        <w:rPr>
          <w:rFonts w:ascii="Aptos Display" w:hAnsi="Aptos Display"/>
          <w:b/>
          <w:color w:val="32528B"/>
          <w:sz w:val="27"/>
        </w:rPr>
        <w:t>SA-013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 Licensed Professional Counselor / LPC?</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070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Professional Counselor / LPC (070)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Professional Counselor / LPC (070)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3" name="Picture 13"/>
            <wp:cNvGraphicFramePr>
              <a:graphicFrameLocks noChangeAspect="1"/>
            </wp:cNvGraphicFramePr>
            <a:graphic>
              <a:graphicData uri="http://schemas.openxmlformats.org/drawingml/2006/picture">
                <pic:pic>
                  <pic:nvPicPr>
                    <pic:cNvPr id="0" name="SA-013_source_highlight.png"/>
                    <pic:cNvPicPr/>
                  </pic:nvPicPr>
                  <pic:blipFill>
                    <a:blip r:embed="rId25"/>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Licensed Professional Counselor / LPC (070)</w:t>
      </w:r>
    </w:p>
    <w:p>
      <w:r>
        <w:br w:type="page"/>
      </w:r>
    </w:p>
    <w:p>
      <w:pPr>
        <w:keepNext/>
        <w:spacing w:before="0" w:after="40"/>
      </w:pPr>
      <w:r>
        <w:rPr>
          <w:rFonts w:ascii="Aptos Display" w:hAnsi="Aptos Display"/>
          <w:b/>
          <w:color w:val="32528B"/>
          <w:sz w:val="27"/>
        </w:rPr>
        <w:t>SA-014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Nurse Practitioners?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09.</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Nurse Practitioners are assigned a provider type of 09.</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of 09</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5816647d97b5acb0fc6d84fb6ded0f609aa3e7418072d8d93c35b3a442879d04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4" name="Picture 14"/>
            <wp:cNvGraphicFramePr>
              <a:graphicFrameLocks noChangeAspect="1"/>
            </wp:cNvGraphicFramePr>
            <a:graphic>
              <a:graphicData uri="http://schemas.openxmlformats.org/drawingml/2006/picture">
                <pic:pic>
                  <pic:nvPicPr>
                    <pic:cNvPr id="0" name="SA-014_source_highlight.png"/>
                    <pic:cNvPicPr/>
                  </pic:nvPicPr>
                  <pic:blipFill>
                    <a:blip r:embed="rId26"/>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provider type of 09</w:t>
      </w:r>
    </w:p>
    <w:p>
      <w:r>
        <w:br w:type="page"/>
      </w:r>
    </w:p>
    <w:p>
      <w:pPr>
        <w:keepNext/>
        <w:spacing w:before="0" w:after="40"/>
      </w:pPr>
      <w:r>
        <w:rPr>
          <w:rFonts w:ascii="Aptos Display" w:hAnsi="Aptos Display"/>
          <w:b/>
          <w:color w:val="32528B"/>
          <w:sz w:val="27"/>
        </w:rPr>
        <w:t>SA-015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type is assigned to Physician Assistants?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10.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Physician Assistants are assigned a provider type of 10.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of 10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5816647d97b5acb0fc6d84fb6ded0f609aa3e7418072d8d93c35b3a442879d04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5" name="Picture 15"/>
            <wp:cNvGraphicFramePr>
              <a:graphicFrameLocks noChangeAspect="1"/>
            </wp:cNvGraphicFramePr>
            <a:graphic>
              <a:graphicData uri="http://schemas.openxmlformats.org/drawingml/2006/picture">
                <pic:pic>
                  <pic:nvPicPr>
                    <pic:cNvPr id="0" name="SA-015_source_highlight.png"/>
                    <pic:cNvPicPr/>
                  </pic:nvPicPr>
                  <pic:blipFill>
                    <a:blip r:embed="rId27"/>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provider type of 10</w:t>
      </w:r>
    </w:p>
    <w:p>
      <w:r>
        <w:br w:type="page"/>
      </w:r>
    </w:p>
    <w:p>
      <w:pPr>
        <w:keepNext/>
        <w:spacing w:before="0" w:after="40"/>
      </w:pPr>
      <w:r>
        <w:rPr>
          <w:rFonts w:ascii="Aptos Display" w:hAnsi="Aptos Display"/>
          <w:b/>
          <w:color w:val="32528B"/>
          <w:sz w:val="27"/>
        </w:rPr>
        <w:t>SA-016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Occupational Therapy?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Occupational Therapy code 171.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Occupational Therapy (171)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https://medicaid.alabama.gov/content/Gated/7.6.1G_Provider_Manuals/7.6.1.2G_Apr_2026/Apr26_37.pdf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Occupational Therapy (171)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7dda7fb89e4a91948f14446db97cc59dd65dae17d2f1f322acca2d6eaabb9145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6" name="Picture 16"/>
            <wp:cNvGraphicFramePr>
              <a:graphicFrameLocks noChangeAspect="1"/>
            </wp:cNvGraphicFramePr>
            <a:graphic>
              <a:graphicData uri="http://schemas.openxmlformats.org/drawingml/2006/picture">
                <pic:pic>
                  <pic:nvPicPr>
                    <pic:cNvPr id="0" name="SA-016_source_highlight.png"/>
                    <pic:cNvPicPr/>
                  </pic:nvPicPr>
                  <pic:blipFill>
                    <a:blip r:embed="rId28"/>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Occupational Therapy (171)</w:t>
      </w:r>
    </w:p>
    <w:p>
      <w:r>
        <w:br w:type="page"/>
      </w:r>
    </w:p>
    <w:p>
      <w:pPr>
        <w:keepNext/>
        <w:spacing w:before="0" w:after="40"/>
      </w:pPr>
      <w:r>
        <w:rPr>
          <w:rFonts w:ascii="Aptos Display" w:hAnsi="Aptos Display"/>
          <w:b/>
          <w:color w:val="32528B"/>
          <w:sz w:val="27"/>
        </w:rPr>
        <w:t>SA-017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SA-017</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Physical Therapy?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Physical Therapy code 170.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Physical Therapy (170)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https://medicaid.alabama.gov/content/Gated/7.6.1G_Provider_Manuals/7.6.1.2G_Apr_2026/Apr26_37.pdf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Physical Therapy (170)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7dda7fb89e4a91948f14446db97cc59dd65dae17d2f1f322acca2d6eaabb9145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7" name="Picture 17"/>
            <wp:cNvGraphicFramePr>
              <a:graphicFrameLocks noChangeAspect="1"/>
            </wp:cNvGraphicFramePr>
            <a:graphic>
              <a:graphicData uri="http://schemas.openxmlformats.org/drawingml/2006/picture">
                <pic:pic>
                  <pic:nvPicPr>
                    <pic:cNvPr id="0" name="SA-017_source_highlight.png"/>
                    <pic:cNvPicPr/>
                  </pic:nvPicPr>
                  <pic:blipFill>
                    <a:blip r:embed="rId29"/>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Physical Therapy (170)</w:t>
      </w:r>
    </w:p>
    <w:p>
      <w:r>
        <w:br w:type="page"/>
      </w:r>
    </w:p>
    <w:p>
      <w:pPr>
        <w:keepNext/>
        <w:spacing w:before="0" w:after="40"/>
      </w:pPr>
      <w:r>
        <w:rPr>
          <w:rFonts w:ascii="Aptos Display" w:hAnsi="Aptos Display"/>
          <w:b/>
          <w:color w:val="32528B"/>
          <w:sz w:val="27"/>
        </w:rPr>
        <w:t>SA-018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SA-018</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Speech Therapy?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Speech Therapy code 173.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Speech Therapy (173)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https://medicaid.alabama.gov/content/Gated/7.6.1G_Provider_Manuals/7.6.1.2G_Apr_2026/Apr26_37.pdf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Speech Therapy (173)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7dda7fb89e4a91948f14446db97cc59dd65dae17d2f1f322acca2d6eaabb9145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8" name="Picture 18"/>
            <wp:cNvGraphicFramePr>
              <a:graphicFrameLocks noChangeAspect="1"/>
            </wp:cNvGraphicFramePr>
            <a:graphic>
              <a:graphicData uri="http://schemas.openxmlformats.org/drawingml/2006/picture">
                <pic:pic>
                  <pic:nvPicPr>
                    <pic:cNvPr id="0" name="SA-018_source_highlight.png"/>
                    <pic:cNvPicPr/>
                  </pic:nvPicPr>
                  <pic:blipFill>
                    <a:blip r:embed="rId30"/>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Speech Therapy (173)</w:t>
      </w:r>
    </w:p>
    <w:p>
      <w:r>
        <w:br w:type="page"/>
      </w:r>
    </w:p>
    <w:p>
      <w:pPr>
        <w:keepNext/>
        <w:spacing w:before="0" w:after="40"/>
      </w:pPr>
      <w:r>
        <w:rPr>
          <w:rFonts w:ascii="Aptos Display" w:hAnsi="Aptos Display"/>
          <w:b/>
          <w:color w:val="32528B"/>
          <w:sz w:val="27"/>
        </w:rPr>
        <w:t>SA-019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SA-019</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Applied Behavior Analysis Therapy.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Applied Behavior Analysis (ABA) Therapy. Code 175.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Applied Behavior Analysis (ABA) Therapy (175)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https://medicaid.alabama.gov/content/Gated/7.6.1G_Provider_Manuals/7.6.1.2G_Apr_2026/Apr26_37.pdf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Applied Behavior Analysis (ABA) Therapy (175)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7dda7fb89e4a91948f14446db97cc59dd65dae17d2f1f322acca2d6eaabb9145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19" name="Picture 19"/>
            <wp:cNvGraphicFramePr>
              <a:graphicFrameLocks noChangeAspect="1"/>
            </wp:cNvGraphicFramePr>
            <a:graphic>
              <a:graphicData uri="http://schemas.openxmlformats.org/drawingml/2006/picture">
                <pic:pic>
                  <pic:nvPicPr>
                    <pic:cNvPr id="0" name="SA-019_source_highlight.png"/>
                    <pic:cNvPicPr/>
                  </pic:nvPicPr>
                  <pic:blipFill>
                    <a:blip r:embed="rId31"/>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Applied Behavior Analysis (ABA) Therapy (175)</w:t>
      </w:r>
    </w:p>
    <w:p>
      <w:r>
        <w:br w:type="page"/>
      </w:r>
    </w:p>
    <w:p>
      <w:pPr>
        <w:keepNext/>
        <w:spacing w:before="0" w:after="40"/>
      </w:pPr>
      <w:r>
        <w:rPr>
          <w:rFonts w:ascii="Aptos Display" w:hAnsi="Aptos Display"/>
          <w:b/>
          <w:color w:val="32528B"/>
          <w:sz w:val="27"/>
        </w:rPr>
        <w:t>SA-020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provider specialties are assigned to Remote Patient Monitoring providers?</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specialties 085 or 086.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Remote Patient Monitoring providers are assigned a provider type of 08 (Remote Patient Monitoring) and provider specialty 085 or 086.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Jul26_111.pdf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https://medicaid.alabama.gov/content/Gated/7.6.1G_Provider_Manuals/7.6.1.3G_July_2026/Jul26_111.pdf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specialty 085 or 086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950bc66ef512fc94ba54df0951c2593a3dbf85fa97473b22a6558705d9af23fd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0" name="Picture 20"/>
            <wp:cNvGraphicFramePr>
              <a:graphicFrameLocks noChangeAspect="1"/>
            </wp:cNvGraphicFramePr>
            <a:graphic>
              <a:graphicData uri="http://schemas.openxmlformats.org/drawingml/2006/picture">
                <pic:pic>
                  <pic:nvPicPr>
                    <pic:cNvPr id="0" name="SA-020_source_highlight.png"/>
                    <pic:cNvPicPr/>
                  </pic:nvPicPr>
                  <pic:blipFill>
                    <a:blip r:embed="rId32"/>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1  |  Search anchor: provider specialty 085 or 086</w:t>
      </w:r>
    </w:p>
    <w:p>
      <w:r>
        <w:br w:type="page"/>
      </w:r>
    </w:p>
    <w:p>
      <w:pPr>
        <w:keepNext/>
        <w:spacing w:before="0" w:after="40"/>
      </w:pPr>
      <w:r>
        <w:rPr>
          <w:rFonts w:ascii="Aptos Display" w:hAnsi="Aptos Display"/>
          <w:b/>
          <w:color w:val="32528B"/>
          <w:sz w:val="27"/>
        </w:rPr>
        <w:t>SA-021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an Associate Licensed Counselor / ALC?</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071.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Associate Licensed Counselor / ALC (071)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Associate Licensed Counselor / ALC (071)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1" name="Picture 21"/>
            <wp:cNvGraphicFramePr>
              <a:graphicFrameLocks noChangeAspect="1"/>
            </wp:cNvGraphicFramePr>
            <a:graphic>
              <a:graphicData uri="http://schemas.openxmlformats.org/drawingml/2006/picture">
                <pic:pic>
                  <pic:nvPicPr>
                    <pic:cNvPr id="0" name="SA-021_source_highlight.png"/>
                    <pic:cNvPicPr/>
                  </pic:nvPicPr>
                  <pic:blipFill>
                    <a:blip r:embed="rId33"/>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Associate Licensed Counselor / ALC (071)</w:t>
      </w:r>
    </w:p>
    <w:p>
      <w:r>
        <w:br w:type="page"/>
      </w:r>
    </w:p>
    <w:p>
      <w:pPr>
        <w:keepNext/>
        <w:spacing w:before="0" w:after="40"/>
      </w:pPr>
      <w:r>
        <w:rPr>
          <w:rFonts w:ascii="Aptos Display" w:hAnsi="Aptos Display"/>
          <w:b/>
          <w:color w:val="32528B"/>
          <w:sz w:val="27"/>
        </w:rPr>
        <w:t>SA-022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 Licensed Marriage and Family Therapist / LMFT?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072.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Marriage and Family Therapist / LMFT (072)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Marriage and Family Therapist / LMFT (072)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2" name="Picture 22"/>
            <wp:cNvGraphicFramePr>
              <a:graphicFrameLocks noChangeAspect="1"/>
            </wp:cNvGraphicFramePr>
            <a:graphic>
              <a:graphicData uri="http://schemas.openxmlformats.org/drawingml/2006/picture">
                <pic:pic>
                  <pic:nvPicPr>
                    <pic:cNvPr id="0" name="SA-022_source_highlight.png"/>
                    <pic:cNvPicPr/>
                  </pic:nvPicPr>
                  <pic:blipFill>
                    <a:blip r:embed="rId34"/>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Licensed Marriage and Family Therapist / LMFT (072)</w:t>
      </w:r>
    </w:p>
    <w:p>
      <w:r>
        <w:br w:type="page"/>
      </w:r>
    </w:p>
    <w:p>
      <w:pPr>
        <w:keepNext/>
        <w:spacing w:before="0" w:after="40"/>
      </w:pPr>
      <w:r>
        <w:rPr>
          <w:rFonts w:ascii="Aptos Display" w:hAnsi="Aptos Display"/>
          <w:b/>
          <w:color w:val="32528B"/>
          <w:sz w:val="27"/>
        </w:rPr>
        <w:t>SA-023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 Licensed Marriage and Family Therapist Associate / LMFTA?</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075.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Marriage and Family Therapist Associate / LMFTA (075)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Marriage and Family Therapist Associate / LMFTA (075)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3" name="Picture 23"/>
            <wp:cNvGraphicFramePr>
              <a:graphicFrameLocks noChangeAspect="1"/>
            </wp:cNvGraphicFramePr>
            <a:graphic>
              <a:graphicData uri="http://schemas.openxmlformats.org/drawingml/2006/picture">
                <pic:pic>
                  <pic:nvPicPr>
                    <pic:cNvPr id="0" name="SA-023_source_highlight.png"/>
                    <pic:cNvPicPr/>
                  </pic:nvPicPr>
                  <pic:blipFill>
                    <a:blip r:embed="rId35"/>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Licensed Marriage and Family Therapist Associate / LMFTA (075)</w:t>
      </w:r>
    </w:p>
    <w:p>
      <w:r>
        <w:br w:type="page"/>
      </w:r>
    </w:p>
    <w:p>
      <w:pPr>
        <w:keepNext/>
        <w:spacing w:before="0" w:after="40"/>
      </w:pPr>
      <w:r>
        <w:rPr>
          <w:rFonts w:ascii="Aptos Display" w:hAnsi="Aptos Display"/>
          <w:b/>
          <w:color w:val="32528B"/>
          <w:sz w:val="27"/>
        </w:rPr>
        <w:t>SA-024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 Licensed Master Social Worker / LMSW?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073.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Master Social Worker / LMSW (073)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Master Social Worker / LMSW (073)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4" name="Picture 24"/>
            <wp:cNvGraphicFramePr>
              <a:graphicFrameLocks noChangeAspect="1"/>
            </wp:cNvGraphicFramePr>
            <a:graphic>
              <a:graphicData uri="http://schemas.openxmlformats.org/drawingml/2006/picture">
                <pic:pic>
                  <pic:nvPicPr>
                    <pic:cNvPr id="0" name="SA-024_source_highlight.png"/>
                    <pic:cNvPicPr/>
                  </pic:nvPicPr>
                  <pic:blipFill>
                    <a:blip r:embed="rId36"/>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Licensed Master Social Worker / LMSW (073)</w:t>
      </w:r>
    </w:p>
    <w:p>
      <w:r>
        <w:br w:type="page"/>
      </w:r>
    </w:p>
    <w:p>
      <w:pPr>
        <w:keepNext/>
        <w:spacing w:before="0" w:after="40"/>
      </w:pPr>
      <w:r>
        <w:rPr>
          <w:rFonts w:ascii="Aptos Display" w:hAnsi="Aptos Display"/>
          <w:b/>
          <w:color w:val="32528B"/>
          <w:sz w:val="27"/>
        </w:rPr>
        <w:t>SA-025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SA-025</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 Licensed Independent Clinical Social Worker / LICSW.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074.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Independent Clinical Social Worker / LICSW (074)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Independent Clinical Social Worker / LICSW (074)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5" name="Picture 25"/>
            <wp:cNvGraphicFramePr>
              <a:graphicFrameLocks noChangeAspect="1"/>
            </wp:cNvGraphicFramePr>
            <a:graphic>
              <a:graphicData uri="http://schemas.openxmlformats.org/drawingml/2006/picture">
                <pic:pic>
                  <pic:nvPicPr>
                    <pic:cNvPr id="0" name="SA-025_source_highlight.png"/>
                    <pic:cNvPicPr/>
                  </pic:nvPicPr>
                  <pic:blipFill>
                    <a:blip r:embed="rId37"/>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Licensed Independent Clinical Social Worker / LICSW (074)</w:t>
      </w:r>
    </w:p>
    <w:p>
      <w:r>
        <w:br w:type="page"/>
      </w:r>
    </w:p>
    <w:p>
      <w:pPr>
        <w:keepNext/>
        <w:spacing w:before="0" w:after="40"/>
      </w:pPr>
      <w:r>
        <w:rPr>
          <w:rFonts w:ascii="Aptos Display" w:hAnsi="Aptos Display"/>
          <w:b/>
          <w:color w:val="32528B"/>
          <w:sz w:val="27"/>
        </w:rPr>
        <w:t>SA-026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a Licensed Psychological Technician / LPT?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076.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Psychological Technician / LPT (076)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https://medicaid.alabama.gov/content/Gated/7.6.1G_Provider_Manuals/7.6.1.3G_July_2026/Jul26_34.pdf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Licensed Psychological Technician / LPT (076)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5d1a8052d80742b29fa8ba93ec2db5ff427507a8fed00488d2b99ce9488b56cf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6" name="Picture 26"/>
            <wp:cNvGraphicFramePr>
              <a:graphicFrameLocks noChangeAspect="1"/>
            </wp:cNvGraphicFramePr>
            <a:graphic>
              <a:graphicData uri="http://schemas.openxmlformats.org/drawingml/2006/picture">
                <pic:pic>
                  <pic:nvPicPr>
                    <pic:cNvPr id="0" name="SA-026_source_highlight.png"/>
                    <pic:cNvPicPr/>
                  </pic:nvPicPr>
                  <pic:blipFill>
                    <a:blip r:embed="rId38"/>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Licensed Psychological Technician / LPT (076)</w:t>
      </w:r>
    </w:p>
    <w:p>
      <w:r>
        <w:br w:type="page"/>
      </w:r>
    </w:p>
    <w:p>
      <w:pPr>
        <w:keepNext/>
        <w:spacing w:before="0" w:after="40"/>
      </w:pPr>
      <w:r>
        <w:rPr>
          <w:rFonts w:ascii="Aptos Display" w:hAnsi="Aptos Display"/>
          <w:b/>
          <w:color w:val="32528B"/>
          <w:sz w:val="27"/>
        </w:rPr>
        <w:t>SA-027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SA-027</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Preventive Health Education?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 code 183.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The valid specialty for preventive health education providers is Preventive Health Education (183).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Jul26_30.pdf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https://medicaid.alabama.gov/content/Gated/7.6.1G_Provider_Manuals/7.6.1.3G_July_2026/Jul26_30.pdf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Preventive Health Education (183)</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eb21fa6f0eabfb878cdc053a14730b96bf8b3763ed00c2336c9f4795f56f295e</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7" name="Picture 27"/>
            <wp:cNvGraphicFramePr>
              <a:graphicFrameLocks noChangeAspect="1"/>
            </wp:cNvGraphicFramePr>
            <a:graphic>
              <a:graphicData uri="http://schemas.openxmlformats.org/drawingml/2006/picture">
                <pic:pic>
                  <pic:nvPicPr>
                    <pic:cNvPr id="0" name="SA-027_source_highlight.png"/>
                    <pic:cNvPicPr/>
                  </pic:nvPicPr>
                  <pic:blipFill>
                    <a:blip r:embed="rId39"/>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1  |  Search anchor: Preventive Health Education (183)</w:t>
      </w:r>
    </w:p>
    <w:p>
      <w:r>
        <w:br w:type="page"/>
      </w:r>
    </w:p>
    <w:p>
      <w:pPr>
        <w:keepNext/>
        <w:spacing w:before="0" w:after="40"/>
      </w:pPr>
      <w:r>
        <w:rPr>
          <w:rFonts w:ascii="Aptos Display" w:hAnsi="Aptos Display"/>
          <w:b/>
          <w:color w:val="32528B"/>
          <w:sz w:val="27"/>
        </w:rPr>
        <w:t>SA-028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SA-028</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EPSDT in the physician specialty table?</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EPSDT code 560.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EPSDT 560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EPSDT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5816647d97b5acb0fc6d84fb6ded0f609aa3e7418072d8d93c35b3a442879d04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8" name="Picture 28"/>
            <wp:cNvGraphicFramePr>
              <a:graphicFrameLocks noChangeAspect="1"/>
            </wp:cNvGraphicFramePr>
            <a:graphic>
              <a:graphicData uri="http://schemas.openxmlformats.org/drawingml/2006/picture">
                <pic:pic>
                  <pic:nvPicPr>
                    <pic:cNvPr id="0" name="SA-028_source_highlight.png"/>
                    <pic:cNvPicPr/>
                  </pic:nvPicPr>
                  <pic:blipFill>
                    <a:blip r:embed="rId40"/>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EPSDT</w:t>
      </w:r>
    </w:p>
    <w:p>
      <w:r>
        <w:br w:type="page"/>
      </w:r>
    </w:p>
    <w:p>
      <w:pPr>
        <w:keepNext/>
        <w:spacing w:before="0" w:after="40"/>
      </w:pPr>
      <w:r>
        <w:rPr>
          <w:rFonts w:ascii="Aptos Display" w:hAnsi="Aptos Display"/>
          <w:b/>
          <w:color w:val="32528B"/>
          <w:sz w:val="27"/>
        </w:rPr>
        <w:t>SA-029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SA-029</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Family Practice in the physician specialty table?</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Family Practice code 316.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Family practice 316</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Family practice</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5816647d97b5acb0fc6d84fb6ded0f609aa3e7418072d8d93c35b3a442879d04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29" name="Picture 29"/>
            <wp:cNvGraphicFramePr>
              <a:graphicFrameLocks noChangeAspect="1"/>
            </wp:cNvGraphicFramePr>
            <a:graphic>
              <a:graphicData uri="http://schemas.openxmlformats.org/drawingml/2006/picture">
                <pic:pic>
                  <pic:nvPicPr>
                    <pic:cNvPr id="0" name="SA-029_source_highlight.png"/>
                    <pic:cNvPicPr/>
                  </pic:nvPicPr>
                  <pic:blipFill>
                    <a:blip r:embed="rId41"/>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Family practice</w:t>
      </w:r>
    </w:p>
    <w:p>
      <w:r>
        <w:br w:type="page"/>
      </w:r>
    </w:p>
    <w:p>
      <w:pPr>
        <w:keepNext/>
        <w:spacing w:before="0" w:after="40"/>
      </w:pPr>
      <w:r>
        <w:rPr>
          <w:rFonts w:ascii="Aptos Display" w:hAnsi="Aptos Display"/>
          <w:b/>
          <w:color w:val="32528B"/>
          <w:sz w:val="27"/>
        </w:rPr>
        <w:t>SA-030 — Student-Authored Control Record</w:t>
      </w:r>
    </w:p>
    <w:p>
      <w:pPr>
        <w:keepNext/>
        <w:spacing w:before="0" w:after="80"/>
      </w:pPr>
      <w:r>
        <w:rPr>
          <w:rFonts w:ascii="Aptos" w:hAnsi="Aptos"/>
          <w:i/>
          <w:color w:val="5B6573"/>
          <w:sz w:val="16"/>
        </w:rPr>
        <w:t>Independent source-grounded factual lookup item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Field</w:t>
            </w:r>
          </w:p>
        </w:tc>
        <w:tc>
          <w:tcPr>
            <w:tcW w:type="dxa" w:w="813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Completed record</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Record ID</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SA-030</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What specialty code is listed for Cardiac Surgery in the physician specialty table?</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Expected answer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Cardiac Surgery code 312.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Question type</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 source lookup</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Exact supporting quote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Cardiac surgery 312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PDF</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PDF page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URL</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https://medicaid.alabama.gov/content/Gated/7.6.1G_Provider_Manuals/7.6.1.3G_July_2026/Jul26_28.pdf</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search anchor</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Cardiac surgery</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Source SHA-256</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5816647d97b5acb0fc6d84fb6ded0f609aa3e7418072d8d93c35b3a442879d04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Snapshot date</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2026-09-14</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Authorship</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Student-authored final wording supplied by the student.</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Training exclusion</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Excluded from training data and answer-key generation.</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Browser verification</w:t>
            </w:r>
          </w:p>
        </w:tc>
        <w:tc>
          <w:tcPr>
            <w:tcW w:type="dxa" w:w="81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Verified in the PDF viewer; source-search evidence is included below.</w:t>
            </w:r>
          </w:p>
        </w:tc>
      </w:tr>
      <w:tr>
        <w:trPr>
          <w:cantSplit/>
        </w:trPr>
        <w:tc>
          <w:tcPr>
            <w:tcW w:type="dxa" w:w="2232"/>
            <w:vAlign w:val="center"/>
            <w:tcMar>
              <w:top w:w="55" w:type="dxa"/>
              <w:start w:w="70" w:type="dxa"/>
              <w:bottom w:w="55" w:type="dxa"/>
              <w:end w:w="70" w:type="dxa"/>
            </w:tcMar>
            <w:shd w:fill="EAF0F8"/>
          </w:tcPr>
          <w:p>
            <w:pPr>
              <w:spacing w:before="0" w:after="0" w:line="240" w:lineRule="auto"/>
            </w:pPr>
            <w:r/>
            <w:r>
              <w:rPr>
                <w:rFonts w:ascii="Aptos" w:hAnsi="Aptos"/>
                <w:b/>
                <w:color w:val="32528B"/>
                <w:sz w:val="14"/>
              </w:rPr>
              <w:t>Post-freeze factual scoring</w:t>
            </w:r>
          </w:p>
        </w:tc>
        <w:tc>
          <w:tcPr>
            <w:tcW w:type="dxa" w:w="8136"/>
            <w:vAlign w:val="center"/>
            <w:tcMar>
              <w:top w:w="55" w:type="dxa"/>
              <w:start w:w="70" w:type="dxa"/>
              <w:bottom w:w="55" w:type="dxa"/>
              <w:end w:w="70" w:type="dxa"/>
            </w:tcMar>
          </w:tcPr>
          <w:p>
            <w:pPr>
              <w:spacing w:before="0" w:after="0" w:line="240" w:lineRule="auto"/>
            </w:pPr>
            <w:r/>
            <w:r>
              <w:rPr>
                <w:rFonts w:ascii="Aptos" w:hAnsi="Aptos"/>
                <w:b w:val="0"/>
                <w:color w:val="1F2937"/>
                <w:sz w:val="15"/>
              </w:rPr>
              <w:t>To be scored after the control set is locked, alongside the generated evaluation set.</w:t>
            </w:r>
          </w:p>
        </w:tc>
      </w:tr>
    </w:tbl>
    <w:p>
      <w:pPr>
        <w:keepNext/>
        <w:spacing w:before="60" w:after="20"/>
      </w:pPr>
      <w:r>
        <w:rPr>
          <w:rFonts w:ascii="Aptos" w:hAnsi="Aptos"/>
          <w:b/>
          <w:color w:val="32528B"/>
          <w:sz w:val="17"/>
        </w:rPr>
        <w:t>Browser source evidence</w:t>
      </w:r>
    </w:p>
    <w:p>
      <w:pPr>
        <w:keepLines/>
        <w:spacing w:before="0" w:after="0"/>
        <w:jc w:val="center"/>
      </w:pPr>
      <w:r>
        <w:drawing>
          <wp:inline xmlns:a="http://schemas.openxmlformats.org/drawingml/2006/main" xmlns:pic="http://schemas.openxmlformats.org/drawingml/2006/picture">
            <wp:extent cx="4343400" cy="2209705"/>
            <wp:docPr id="30" name="Picture 30"/>
            <wp:cNvGraphicFramePr>
              <a:graphicFrameLocks noChangeAspect="1"/>
            </wp:cNvGraphicFramePr>
            <a:graphic>
              <a:graphicData uri="http://schemas.openxmlformats.org/drawingml/2006/picture">
                <pic:pic>
                  <pic:nvPicPr>
                    <pic:cNvPr id="0" name="SA-030_source_highlight.png"/>
                    <pic:cNvPicPr/>
                  </pic:nvPicPr>
                  <pic:blipFill>
                    <a:blip r:embed="rId42"/>
                    <a:stretch>
                      <a:fillRect/>
                    </a:stretch>
                  </pic:blipFill>
                  <pic:spPr>
                    <a:xfrm>
                      <a:off x="0" y="0"/>
                      <a:ext cx="4343400" cy="2209705"/>
                    </a:xfrm>
                    <a:prstGeom prst="rect"/>
                  </pic:spPr>
                </pic:pic>
              </a:graphicData>
            </a:graphic>
          </wp:inline>
        </w:drawing>
      </w:r>
    </w:p>
    <w:p>
      <w:pPr>
        <w:spacing w:before="0" w:after="0"/>
        <w:jc w:val="center"/>
      </w:pPr>
      <w:r>
        <w:rPr>
          <w:rFonts w:ascii="Aptos" w:hAnsi="Aptos"/>
          <w:i/>
          <w:color w:val="5B6573"/>
          <w:sz w:val="13"/>
        </w:rPr>
        <w:t>PDF viewer page 2  |  Search anchor: Cardiac surgery</w:t>
      </w:r>
    </w:p>
    <w:sectPr w:rsidR="00FC693F" w:rsidRPr="0006063C" w:rsidSect="00034616">
      <w:headerReference w:type="default" r:id="rId9"/>
      <w:footerReference w:type="default" r:id="rId10"/>
      <w:headerReference w:type="first" r:id="rId43"/>
      <w:footerReference w:type="first" r:id="rId44"/>
      <w:pgSz w:w="12240" w:h="15840"/>
      <w:pgMar w:top="893"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Data and Model Selection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AUtoMLy Medicaid Policy Copilot  |  INAI 6986 Milestone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2528B"/>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milestone1_reproducibility.ipynb"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header" Target="header2.xml"/><Relationship Id="rId4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INAI 6986 Milestone 1 — Data and Model Selection</dc:title>
  <dc:subject>AUtoMLy Medicaid Policy Copilot</dc:subject>
  <dc:creator>J.O.</dc:creator>
  <cp:keywords>INAI 6986, Milestone 1, student-authored independent control set, reproducibility</cp:keywords>
  <dc:description/>
  <cp:lastModifiedBy>J.O.</cp:lastModifiedBy>
  <cp:revision>1</cp:revision>
  <dcterms:created xsi:type="dcterms:W3CDTF">2013-12-23T23:15:00Z</dcterms:created>
  <dcterms:modified xsi:type="dcterms:W3CDTF">2013-12-23T23:15:00Z</dcterms:modified>
  <cp:category/>
</cp:coreProperties>
</file>