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NAVER WEBTOON — Global Webtoon Data Analyst 지원</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  디지털 콘텐츠 × 글로벌 서비스 × 실험 기반 성장</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분석 리더</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전 세계 수천만 사용자가 이용하는 디지털 콘텐츠 서비스에서, KPI를 정의하고 실험을 설계하며 데이터로 성장을 견인하는 것 — 이것이 지난 15년간 제가 해온 일이며, NAVER WEBTOON Global Webtoon Data Analyst 포지션에 지원하는 이유입니다.</w:t>
      </w:r>
    </w:p>
    <w:p>
      <w:pPr>
        <w:spacing w:before="0" w:after="200" w:line="360" w:lineRule="auto"/>
      </w:pPr>
      <w:r>
        <w:rPr>
          <w:rFonts w:ascii="Calibri" w:hAnsi="Calibri" w:eastAsia="맑은 고딕"/>
          <w:b w:val="0"/>
          <w:color w:val="333333"/>
          <w:sz w:val="21"/>
        </w:rPr>
        <w:t>현재 Tving(OTT)에서 디지털 콘텐츠 서비스의 핵심 KPI를 정의하고, AI 기반 자동화 대시보드를 구축하며, 콘텐츠 실적 예측 모델을 운영하고 있습니다. '구독자가 어떤 콘텐츠를 왜 소비하고, 무엇이 이탈을 막는가'를 데이터로 답하는 체계를 직접 설계했습니다. 이 경험은 웹툰이라는 디지털 콘텐츠 플랫폼에서 '어떤 작품이 유저를 유입시키고, 어떤 BM이 결제를 견인하는가'를 분석하는 데 직접 전이될 수 있습니다.</w:t>
      </w:r>
    </w:p>
    <w:p>
      <w:pPr>
        <w:spacing w:before="0" w:after="200" w:line="360" w:lineRule="auto"/>
      </w:pPr>
      <w:r>
        <w:rPr>
          <w:rFonts w:ascii="Calibri" w:hAnsi="Calibri" w:eastAsia="맑은 고딕"/>
          <w:b w:val="0"/>
          <w:color w:val="333333"/>
          <w:sz w:val="21"/>
        </w:rPr>
        <w:t>그 이전 Coupang에서는 3P Marketplace BI Principal로서 AB Test 플랫폼(XPC)을 활용한 실험 설계·검증, AARRR 퍼널 기반 성장 분석, 17만+ 상품의 프로모션 전환 전략을 데이터로 수립했습니다. eBay Korea에서는 3개 사이트(Gmarket, Auction, G9)의 행동데이터 수집 시스템을 기획하고 데이터 거버넌스를 0에서 구축한 경험이 있어, 신규 서비스의 로그·데이터 테이블 설계에도 강점이 있습니다.</w:t>
      </w:r>
    </w:p>
    <w:p>
      <w:pPr>
        <w:spacing w:before="0" w:after="320" w:line="360" w:lineRule="auto"/>
      </w:pPr>
      <w:r>
        <w:rPr>
          <w:rFonts w:ascii="Calibri" w:hAnsi="Calibri" w:eastAsia="맑은 고딕"/>
          <w:b w:val="0"/>
          <w:color w:val="333333"/>
          <w:sz w:val="21"/>
        </w:rPr>
        <w:t>기술(SQL, Python, Tableau, Airflow)을 도구로 쓰되, 항상 비즈니스 질문에서 출발하여 실행 가능한 전략으로 귀결시키는 것이 저의 분석 철학입니다. NAVER WEBTOON의 글로벌 사업 성장을 데이터로 가속화하는 데 기여하고 싶습니다.</w:t>
      </w:r>
    </w:p>
    <w:p>
      <w:pPr>
        <w:pStyle w:val="Heading1"/>
      </w:pPr>
      <w:r>
        <w:t>지원 포지션 적합성</w:t>
      </w:r>
    </w:p>
    <w:p>
      <w:pPr>
        <w:spacing w:before="0" w:after="200" w:line="336" w:lineRule="auto"/>
      </w:pPr>
      <w:r>
        <w:rPr>
          <w:rFonts w:ascii="Calibri" w:hAnsi="Calibri" w:eastAsia="맑은 고딕"/>
          <w:b w:val="0"/>
          <w:color w:val="555555"/>
          <w:sz w:val="20"/>
        </w:rPr>
        <w:t>NAVER WEBTOON이 원하는 역량 → 제가 증명한 경험</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2268"/>
            <w:shd w:fill="2563EB" w:val="clear"/>
            <w:vAlign w:val="center"/>
          </w:tcPr>
          <w:p>
            <w:pPr>
              <w:spacing w:before="60" w:after="60"/>
              <w:jc w:val="center"/>
            </w:pPr>
            <w:r/>
            <w:r>
              <w:rPr>
                <w:rFonts w:ascii="Calibri" w:hAnsi="Calibri" w:eastAsia="맑은 고딕"/>
                <w:b/>
                <w:color w:val="FFFFFF"/>
                <w:sz w:val="20"/>
              </w:rPr>
              <w:t>요구 역량</w:t>
            </w:r>
          </w:p>
        </w:tc>
        <w:tc>
          <w:tcPr>
            <w:tcW w:type="dxa" w:w="7087"/>
            <w:shd w:fill="2563EB" w:val="clear"/>
            <w:vAlign w:val="center"/>
          </w:tcPr>
          <w:p>
            <w:pPr>
              <w:spacing w:before="60" w:after="60"/>
              <w:jc w:val="center"/>
            </w:pPr>
            <w:r/>
            <w:r>
              <w:rPr>
                <w:rFonts w:ascii="Calibri" w:hAnsi="Calibri" w:eastAsia="맑은 고딕"/>
                <w:b/>
                <w:color w:val="FFFFFF"/>
                <w:sz w:val="20"/>
              </w:rPr>
              <w:t>보유 경험</w:t>
            </w:r>
          </w:p>
        </w:tc>
      </w:tr>
      <w:tr>
        <w:tc>
          <w:tcPr>
            <w:tcW w:type="dxa" w:w="2268"/>
            <w:vAlign w:val="center"/>
          </w:tcPr>
          <w:p>
            <w:pPr>
              <w:spacing w:before="60" w:after="60"/>
            </w:pPr>
            <w:r/>
            <w:r>
              <w:rPr>
                <w:rFonts w:ascii="Calibri" w:hAnsi="Calibri" w:eastAsia="맑은 고딕"/>
                <w:b/>
                <w:color w:val="1E40AF"/>
                <w:sz w:val="19"/>
              </w:rPr>
              <w:t>핵심 KPI 정의 및</w:t>
              <w:br/>
              <w:t>대시보드 구현·고도화</w:t>
            </w:r>
          </w:p>
        </w:tc>
        <w:tc>
          <w:tcPr>
            <w:tcW w:type="dxa" w:w="7087"/>
            <w:vAlign w:val="center"/>
          </w:tcPr>
          <w:p>
            <w:pPr>
              <w:spacing w:before="60" w:after="60"/>
            </w:pPr>
            <w:r/>
            <w:r>
              <w:rPr>
                <w:rFonts w:ascii="Calibri" w:hAnsi="Calibri" w:eastAsia="맑은 고딕"/>
                <w:b w:val="0"/>
                <w:color w:val="333333"/>
                <w:sz w:val="19"/>
              </w:rPr>
              <w:t>Tving: 구독자·시청시간·재구독률 등 핵심 KPI 정의 + AI 자동화 대시보드 구축</w:t>
              <w:br/>
              <w:t>Coupang: 셀러 GMV, FEP 전환율 등 다차원 KPI 대시보드 (Tableau)</w:t>
              <w:br/>
              <w:t>eBay: BI 서비스 플랫폼, 검색 키워드·프로모션 실적 분석 플랫폼 구축</w:t>
            </w:r>
          </w:p>
        </w:tc>
      </w:tr>
      <w:tr>
        <w:tc>
          <w:tcPr>
            <w:tcW w:type="dxa" w:w="2268"/>
            <w:shd w:fill="F0F4FF" w:val="clear"/>
            <w:vAlign w:val="center"/>
          </w:tcPr>
          <w:p>
            <w:pPr>
              <w:spacing w:before="60" w:after="60"/>
            </w:pPr>
            <w:r/>
            <w:r>
              <w:rPr>
                <w:rFonts w:ascii="Calibri" w:hAnsi="Calibri" w:eastAsia="맑은 고딕"/>
                <w:b/>
                <w:color w:val="1E40AF"/>
                <w:sz w:val="19"/>
              </w:rPr>
              <w:t>실험 설계 및</w:t>
              <w:br/>
              <w:t>통계 기반 효과 검증</w:t>
            </w:r>
          </w:p>
        </w:tc>
        <w:tc>
          <w:tcPr>
            <w:tcW w:type="dxa" w:w="7087"/>
            <w:shd w:fill="F0F4FF" w:val="clear"/>
            <w:vAlign w:val="center"/>
          </w:tcPr>
          <w:p>
            <w:pPr>
              <w:spacing w:before="60" w:after="60"/>
            </w:pPr>
            <w:r/>
            <w:r>
              <w:rPr>
                <w:rFonts w:ascii="Calibri" w:hAnsi="Calibri" w:eastAsia="맑은 고딕"/>
                <w:b w:val="0"/>
                <w:color w:val="333333"/>
                <w:sz w:val="19"/>
              </w:rPr>
              <w:t>Coupang: XPC 플랫폼 기반 AB Test 수십 건 설계·실행·검증</w:t>
              <w:br/>
              <w:t>FEP 가격 최적화, MyShop 묶음구매 UX, Auto Price 효과 검증 등</w:t>
              <w:br/>
              <w:t>eBay: Deep Link Gate 유입 케이스별 AB Test 설계·실행</w:t>
            </w:r>
          </w:p>
        </w:tc>
      </w:tr>
      <w:tr>
        <w:tc>
          <w:tcPr>
            <w:tcW w:type="dxa" w:w="2268"/>
            <w:vAlign w:val="center"/>
          </w:tcPr>
          <w:p>
            <w:pPr>
              <w:spacing w:before="60" w:after="60"/>
            </w:pPr>
            <w:r/>
            <w:r>
              <w:rPr>
                <w:rFonts w:ascii="Calibri" w:hAnsi="Calibri" w:eastAsia="맑은 고딕"/>
                <w:b/>
                <w:color w:val="1E40AF"/>
                <w:sz w:val="19"/>
              </w:rPr>
              <w:t>앱/웹 로그 데이터 활용</w:t>
              <w:br/>
              <w:t>퍼널 분석</w:t>
            </w:r>
          </w:p>
        </w:tc>
        <w:tc>
          <w:tcPr>
            <w:tcW w:type="dxa" w:w="7087"/>
            <w:vAlign w:val="center"/>
          </w:tcPr>
          <w:p>
            <w:pPr>
              <w:spacing w:before="60" w:after="60"/>
            </w:pPr>
            <w:r/>
            <w:r>
              <w:rPr>
                <w:rFonts w:ascii="Calibri" w:hAnsi="Calibri" w:eastAsia="맑은 고딕"/>
                <w:b w:val="0"/>
                <w:color w:val="333333"/>
                <w:sz w:val="19"/>
              </w:rPr>
              <w:t>Coupang: 셀러 AARRR 퍼널 (SignUp→Live→Active→GMV) End-to-End 구축</w:t>
              <w:br/>
              <w:t>Tving: 구독 퍼널 + 시청 퍼널 분석, 이탈 최다 단계 데이터 식별</w:t>
              <w:br/>
              <w:t>eBay: Funnel 기반 도메인별 이탈/전환 분석</w:t>
            </w:r>
          </w:p>
        </w:tc>
      </w:tr>
      <w:tr>
        <w:tc>
          <w:tcPr>
            <w:tcW w:type="dxa" w:w="2268"/>
            <w:shd w:fill="F0F4FF" w:val="clear"/>
            <w:vAlign w:val="center"/>
          </w:tcPr>
          <w:p>
            <w:pPr>
              <w:spacing w:before="60" w:after="60"/>
            </w:pPr>
            <w:r/>
            <w:r>
              <w:rPr>
                <w:rFonts w:ascii="Calibri" w:hAnsi="Calibri" w:eastAsia="맑은 고딕"/>
                <w:b/>
                <w:color w:val="1E40AF"/>
                <w:sz w:val="19"/>
              </w:rPr>
              <w:t>신규 서비스</w:t>
              <w:br/>
              <w:t>데이터 구조 설계</w:t>
            </w:r>
          </w:p>
        </w:tc>
        <w:tc>
          <w:tcPr>
            <w:tcW w:type="dxa" w:w="7087"/>
            <w:shd w:fill="F0F4FF" w:val="clear"/>
            <w:vAlign w:val="center"/>
          </w:tcPr>
          <w:p>
            <w:pPr>
              <w:spacing w:before="60" w:after="60"/>
            </w:pPr>
            <w:r/>
            <w:r>
              <w:rPr>
                <w:rFonts w:ascii="Calibri" w:hAnsi="Calibri" w:eastAsia="맑은 고딕"/>
                <w:b w:val="0"/>
                <w:color w:val="333333"/>
                <w:sz w:val="19"/>
              </w:rPr>
              <w:t>eBay: Montelena TF (Owner PM, 1.5년) — 3개 사이트 행동데이터 수집 시스템 + 지표 표준화</w:t>
              <w:br/>
              <w:t>Coupang: GA → 내부 DB 연결 ETL 파이프라인 (Airflow) 직접 설계·구축</w:t>
              <w:br/>
              <w:t>Tving: AI 쿼리 시스템을 위한 전사 데이터 카탈로그 구조화</w:t>
            </w:r>
          </w:p>
        </w:tc>
      </w:tr>
      <w:tr>
        <w:tc>
          <w:tcPr>
            <w:tcW w:type="dxa" w:w="2268"/>
            <w:vAlign w:val="center"/>
          </w:tcPr>
          <w:p>
            <w:pPr>
              <w:spacing w:before="60" w:after="60"/>
            </w:pPr>
            <w:r/>
            <w:r>
              <w:rPr>
                <w:rFonts w:ascii="Calibri" w:hAnsi="Calibri" w:eastAsia="맑은 고딕"/>
                <w:b/>
                <w:color w:val="1E40AF"/>
                <w:sz w:val="19"/>
              </w:rPr>
              <w:t>디지털 콘텐츠 산업 이해</w:t>
              <w:br/>
              <w:t>(우대)</w:t>
            </w:r>
          </w:p>
        </w:tc>
        <w:tc>
          <w:tcPr>
            <w:tcW w:type="dxa" w:w="7087"/>
            <w:vAlign w:val="center"/>
          </w:tcPr>
          <w:p>
            <w:pPr>
              <w:spacing w:before="60" w:after="60"/>
            </w:pPr>
            <w:r/>
            <w:r>
              <w:rPr>
                <w:rFonts w:ascii="Calibri" w:hAnsi="Calibri" w:eastAsia="맑은 고딕"/>
                <w:b w:val="0"/>
                <w:color w:val="333333"/>
                <w:sz w:val="19"/>
              </w:rPr>
              <w:t>Tving (현재): OTT 디지털 콘텐츠 서비스 데이터 분석 팀장</w:t>
              <w:br/>
              <w:t>콘텐츠 실적 예측, 구독자 행동 분석, 시청시간 기반 KPI 설계 등 직접 수행</w:t>
            </w:r>
          </w:p>
        </w:tc>
      </w:tr>
      <w:tr>
        <w:tc>
          <w:tcPr>
            <w:tcW w:type="dxa" w:w="2268"/>
            <w:shd w:fill="F0F4FF" w:val="clear"/>
            <w:vAlign w:val="center"/>
          </w:tcPr>
          <w:p>
            <w:pPr>
              <w:spacing w:before="60" w:after="60"/>
            </w:pPr>
            <w:r/>
            <w:r>
              <w:rPr>
                <w:rFonts w:ascii="Calibri" w:hAnsi="Calibri" w:eastAsia="맑은 고딕"/>
                <w:b/>
                <w:color w:val="1E40AF"/>
                <w:sz w:val="19"/>
              </w:rPr>
              <w:t>사업 전략 / 그로스해킹</w:t>
              <w:br/>
              <w:t>/ CRM (우대)</w:t>
            </w:r>
          </w:p>
        </w:tc>
        <w:tc>
          <w:tcPr>
            <w:tcW w:type="dxa" w:w="7087"/>
            <w:shd w:fill="F0F4FF" w:val="clear"/>
            <w:vAlign w:val="center"/>
          </w:tcPr>
          <w:p>
            <w:pPr>
              <w:spacing w:before="60" w:after="60"/>
            </w:pPr>
            <w:r/>
            <w:r>
              <w:rPr>
                <w:rFonts w:ascii="Calibri" w:hAnsi="Calibri" w:eastAsia="맑은 고딕"/>
                <w:b w:val="0"/>
                <w:color w:val="333333"/>
                <w:sz w:val="19"/>
              </w:rPr>
              <w:t>Coupang: 셀러 성장 전략, 프로모션 최적화, 그로스 분석</w:t>
              <w:br/>
              <w:t>E-Land: 고객 세그먼트 기반 CRM, 타겟 마케팅 전략 수립</w:t>
            </w:r>
          </w:p>
        </w:tc>
      </w:tr>
    </w:tbl>
    <w:p>
      <w:pPr>
        <w:pStyle w:val="Heading1"/>
      </w:pPr>
      <w:r>
        <w:t>경력 요약</w:t>
      </w:r>
    </w:p>
    <w:p>
      <w:pPr>
        <w:spacing w:before="0" w:after="200" w:line="336" w:lineRule="auto"/>
      </w:pPr>
      <w:r>
        <w:rPr>
          <w:rFonts w:ascii="Calibri" w:hAnsi="Calibri" w:eastAsia="맑은 고딕"/>
          <w:b w:val="0"/>
          <w:color w:val="555555"/>
          <w:sz w:val="20"/>
        </w:rPr>
        <w:t>총 경력 15년+ | 리테일 → e-Commerce → 디지털 콘텐츠(OTT) | KPI 설계 · 실험 · 퍼널 · 대시보드 · 데이터 인프라</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Technical Skills</w:t>
            </w:r>
          </w:p>
        </w:tc>
        <w:tc>
          <w:tcPr>
            <w:tcW w:type="dxa" w:w="7370"/>
            <w:vAlign w:val="center"/>
          </w:tcPr>
          <w:p>
            <w:pPr>
              <w:spacing w:before="60" w:after="60"/>
            </w:pPr>
            <w:r/>
            <w:r>
              <w:rPr>
                <w:rFonts w:ascii="Calibri" w:hAnsi="Calibri" w:eastAsia="맑은 고딕"/>
                <w:b w:val="0"/>
                <w:color w:val="333333"/>
                <w:sz w:val="20"/>
              </w:rPr>
              <w:t>SQL (Hive/Oracle/MySQL) — 분석 전 과정 주도 수행, Tableau, Python, Google Analytics, Apache Airflow (ETL), ElasticSearch, Kibana, R, D3.js</w:t>
            </w:r>
          </w:p>
        </w:tc>
      </w:tr>
      <w:tr>
        <w:tc>
          <w:tcPr>
            <w:tcW w:type="dxa" w:w="1984"/>
            <w:shd w:fill="EFF6FF" w:val="clear"/>
            <w:vAlign w:val="center"/>
          </w:tcPr>
          <w:p>
            <w:pPr>
              <w:spacing w:before="60" w:after="60"/>
              <w:jc w:val="center"/>
            </w:pPr>
            <w:r/>
            <w:r>
              <w:rPr>
                <w:rFonts w:ascii="Calibri" w:hAnsi="Calibri" w:eastAsia="맑은 고딕"/>
                <w:b/>
                <w:color w:val="2563EB"/>
                <w:sz w:val="20"/>
              </w:rPr>
              <w:t>Experimentation</w:t>
            </w:r>
          </w:p>
        </w:tc>
        <w:tc>
          <w:tcPr>
            <w:tcW w:type="dxa" w:w="7370"/>
            <w:shd w:fill="FAFBFF" w:val="clear"/>
            <w:vAlign w:val="center"/>
          </w:tcPr>
          <w:p>
            <w:pPr>
              <w:spacing w:before="60" w:after="60"/>
            </w:pPr>
            <w:r/>
            <w:r>
              <w:rPr>
                <w:rFonts w:ascii="Calibri" w:hAnsi="Calibri" w:eastAsia="맑은 고딕"/>
                <w:b w:val="0"/>
                <w:color w:val="333333"/>
                <w:sz w:val="20"/>
              </w:rPr>
              <w:t>AB Testing (Coupang XPC 플랫폼), 통계 기반 효과 검증, 실험 설계 프레임워크, 프로덕트·BM 개선 실험, 의사결정 지원 리포트</w:t>
            </w:r>
          </w:p>
        </w:tc>
      </w:tr>
      <w:tr>
        <w:tc>
          <w:tcPr>
            <w:tcW w:type="dxa" w:w="1984"/>
            <w:shd w:fill="EFF6FF" w:val="clear"/>
            <w:vAlign w:val="center"/>
          </w:tcPr>
          <w:p>
            <w:pPr>
              <w:spacing w:before="60" w:after="60"/>
              <w:jc w:val="center"/>
            </w:pPr>
            <w:r/>
            <w:r>
              <w:rPr>
                <w:rFonts w:ascii="Calibri" w:hAnsi="Calibri" w:eastAsia="맑은 고딕"/>
                <w:b/>
                <w:color w:val="2563EB"/>
                <w:sz w:val="20"/>
              </w:rPr>
              <w:t>Growth Analytics</w:t>
            </w:r>
          </w:p>
        </w:tc>
        <w:tc>
          <w:tcPr>
            <w:tcW w:type="dxa" w:w="7370"/>
            <w:vAlign w:val="center"/>
          </w:tcPr>
          <w:p>
            <w:pPr>
              <w:spacing w:before="60" w:after="60"/>
            </w:pPr>
            <w:r/>
            <w:r>
              <w:rPr>
                <w:rFonts w:ascii="Calibri" w:hAnsi="Calibri" w:eastAsia="맑은 고딕"/>
                <w:b w:val="0"/>
                <w:color w:val="333333"/>
                <w:sz w:val="20"/>
              </w:rPr>
              <w:t>Funnel Analysis, AARRR Framework, Cohort Analysis, KPI 정의·설계, 대시보드 구현·고도화, 앱/웹 로그 분석, CRM, 세그먼트 분석</w:t>
            </w:r>
          </w:p>
        </w:tc>
      </w:tr>
      <w:tr>
        <w:tc>
          <w:tcPr>
            <w:tcW w:type="dxa" w:w="1984"/>
            <w:shd w:fill="EFF6FF" w:val="clear"/>
            <w:vAlign w:val="center"/>
          </w:tcPr>
          <w:p>
            <w:pPr>
              <w:spacing w:before="60" w:after="60"/>
              <w:jc w:val="center"/>
            </w:pPr>
            <w:r/>
            <w:r>
              <w:rPr>
                <w:rFonts w:ascii="Calibri" w:hAnsi="Calibri" w:eastAsia="맑은 고딕"/>
                <w:b/>
                <w:color w:val="2563EB"/>
                <w:sz w:val="20"/>
              </w:rPr>
              <w:t>Data Infra &amp; AI</w:t>
            </w:r>
          </w:p>
        </w:tc>
        <w:tc>
          <w:tcPr>
            <w:tcW w:type="dxa" w:w="7370"/>
            <w:shd w:fill="FAFBFF" w:val="clear"/>
            <w:vAlign w:val="center"/>
          </w:tcPr>
          <w:p>
            <w:pPr>
              <w:spacing w:before="60" w:after="60"/>
            </w:pPr>
            <w:r/>
            <w:r>
              <w:rPr>
                <w:rFonts w:ascii="Calibri" w:hAnsi="Calibri" w:eastAsia="맑은 고딕"/>
                <w:b w:val="0"/>
                <w:color w:val="333333"/>
                <w:sz w:val="20"/>
              </w:rPr>
              <w:t>행동데이터 수집 시스템 설계, 데이터 거버넌스 표준화, 로그·데이터 테이블 설계, AI 자동화 대시보드, 예측 모델링, LLM 챗봇</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ving_ai_dashboard.jpg"/>
                    <pic:cNvPicPr/>
                  </pic:nvPicPr>
                  <pic:blipFill>
                    <a:blip r:embed="rId9"/>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AI 지능형 대시보드 — AI-Dave 자동 인사이트 생성 &amp; 챗봇 통합 화면</w:t>
      </w: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ving_kpi_breakdown.jpg"/>
                    <pic:cNvPicPr/>
                  </pic:nvPicPr>
                  <pic:blipFill>
                    <a:blip r:embed="rId10"/>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KPI 포뮬러 분해 대시보드 — Watch Hour = User Traffic × 시청 전환율 × 시청시간/전환</w:t>
      </w: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3" name="Picture 3"/>
            <wp:cNvGraphicFramePr>
              <a:graphicFrameLocks noChangeAspect="1"/>
            </wp:cNvGraphicFramePr>
            <a:graphic>
              <a:graphicData uri="http://schemas.openxmlformats.org/drawingml/2006/picture">
                <pic:pic>
                  <pic:nvPicPr>
                    <pic:cNvPr id="0" name="coupang_ab_test.png"/>
                    <pic:cNvPicPr/>
                  </pic:nvPicPr>
                  <pic:blipFill>
                    <a:blip r:embed="rId11"/>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4" name="Picture 4"/>
            <wp:cNvGraphicFramePr>
              <a:graphicFrameLocks noChangeAspect="1"/>
            </wp:cNvGraphicFramePr>
            <a:graphic>
              <a:graphicData uri="http://schemas.openxmlformats.org/drawingml/2006/picture">
                <pic:pic>
                  <pic:nvPicPr>
                    <pic:cNvPr id="0" name="coupang_cpi_dashboard.png"/>
                    <pic:cNvPicPr/>
                  </pic:nvPicPr>
                  <pic:blipFill>
                    <a:blip r:embed="rId12"/>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coupang_seller_funnel.png"/>
                    <pic:cNvPicPr/>
                  </pic:nvPicPr>
                  <pic:blipFill>
                    <a:blip r:embed="rId13"/>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6" name="Picture 6"/>
            <wp:cNvGraphicFramePr>
              <a:graphicFrameLocks noChangeAspect="1"/>
            </wp:cNvGraphicFramePr>
            <a:graphic>
              <a:graphicData uri="http://schemas.openxmlformats.org/drawingml/2006/picture">
                <pic:pic>
                  <pic:nvPicPr>
                    <pic:cNvPr id="0" name="coupang_seller_cohort.png"/>
                    <pic:cNvPicPr/>
                  </pic:nvPicPr>
                  <pic:blipFill>
                    <a:blip r:embed="rId14"/>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7" name="Picture 7"/>
            <wp:cNvGraphicFramePr>
              <a:graphicFrameLocks noChangeAspect="1"/>
            </wp:cNvGraphicFramePr>
            <a:graphic>
              <a:graphicData uri="http://schemas.openxmlformats.org/drawingml/2006/picture">
                <pic:pic>
                  <pic:nvPicPr>
                    <pic:cNvPr id="0" name="coupang_gmv_dashboard.png"/>
                    <pic:cNvPicPr/>
                  </pic:nvPicPr>
                  <pic:blipFill>
                    <a:blip r:embed="rId15"/>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8" name="Picture 8"/>
            <wp:cNvGraphicFramePr>
              <a:graphicFrameLocks noChangeAspect="1"/>
            </wp:cNvGraphicFramePr>
            <a:graphic>
              <a:graphicData uri="http://schemas.openxmlformats.org/drawingml/2006/picture">
                <pic:pic>
                  <pic:nvPicPr>
                    <pic:cNvPr id="0" name="coupang_multi_dashboard.png"/>
                    <pic:cNvPicPr/>
                  </pic:nvPicPr>
                  <pic:blipFill>
                    <a:blip r:embed="rId16"/>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외부 솔루션과 방식으로 데이터를 수집하고, 부서마다 PV, UV 등의 정의가 달라 전사 차원의 데이터 비교 자체가 불가능한 상황이었습니다. 통일된 전략 수립에 큰 낭비가 발생하고 있었습니다.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행동데이터 수집 트래킹 시스템 구축 + 지표 표준화(거버넌스) + 분석 서비스까지 완성된 에코시스템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3개 사이트의 핵심 지표 정의 차이를 통일. PV/UV/Click/Members 등 8개 핵심 지표의 Standard Query 정립 및 메타 테이블 기획</w:t>
      </w:r>
    </w:p>
    <w:p>
      <w:pPr>
        <w:spacing w:before="40" w:after="40" w:line="324" w:lineRule="auto"/>
        <w:ind w:left="1020" w:hanging="283"/>
      </w:pPr>
      <w:r>
        <w:rPr>
          <w:rFonts w:ascii="Calibri" w:hAnsi="Calibri" w:eastAsia="맑은 고딕"/>
          <w:color w:val="333333"/>
          <w:sz w:val="20"/>
        </w:rPr>
        <w:t>– [태깅 시스템] 웹 컨테이너 자동 태깅을 시도했으나 사이트별 레거시 제약으로 자동화 불가 → 수동 태깅으로 전환. 잦은 업데이트로 인한 누락, 휴먼에러 등 시행착오를 거쳐 비즈니스 임팩트가 큰 16개 핵심 도메인에 범위를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 — 직접 구매가 발생하지 않는 도메인에 대한 평가 지표 기획</w:t>
      </w:r>
    </w:p>
    <w:p>
      <w:pPr>
        <w:spacing w:before="40" w:after="40" w:line="324" w:lineRule="auto"/>
        <w:ind w:left="1020" w:hanging="283"/>
      </w:pPr>
      <w:r>
        <w:rPr>
          <w:rFonts w:ascii="Calibri" w:hAnsi="Calibri" w:eastAsia="맑은 고딕"/>
          <w:color w:val="333333"/>
          <w:sz w:val="20"/>
        </w:rPr>
        <w:t>– [온보딩 &amp; 전파] 1년 예정이 1.5년 소요 — 시스템 구축 후 사용자 활용도를 높이기 위해 SQL 분석 예제와 결과물을 함께 제공.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9" name="Picture 9"/>
            <wp:cNvGraphicFramePr>
              <a:graphicFrameLocks noChangeAspect="1"/>
            </wp:cNvGraphicFramePr>
            <a:graphic>
              <a:graphicData uri="http://schemas.openxmlformats.org/drawingml/2006/picture">
                <pic:pic>
                  <pic:nvPicPr>
                    <pic:cNvPr id="0" name="ebay_dashboard_design.png"/>
                    <pic:cNvPicPr/>
                  </pic:nvPicPr>
                  <pic:blipFill>
                    <a:blip r:embed="rId17"/>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&amp; Marketing Channel Data 수집 (Owner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구조적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Marketing Channel Data 수집 로직 기획 — 웹→앱 전환 시 사용자 식별이 유지되는 중간 게이트웨이 로직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10" name="Picture 10"/>
            <wp:cNvGraphicFramePr>
              <a:graphicFrameLocks noChangeAspect="1"/>
            </wp:cNvGraphicFramePr>
            <a:graphic>
              <a:graphicData uri="http://schemas.openxmlformats.org/drawingml/2006/picture">
                <pic:pic>
                  <pic:nvPicPr>
                    <pic:cNvPr id="0" name="ebay_tableau_kpi.png"/>
                    <pic:cNvPicPr/>
                  </pic:nvPicPr>
                  <pic:blipFill>
                    <a:blip r:embed="rId18"/>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11" name="Picture 11"/>
            <wp:cNvGraphicFramePr>
              <a:graphicFrameLocks noChangeAspect="1"/>
            </wp:cNvGraphicFramePr>
            <a:graphic>
              <a:graphicData uri="http://schemas.openxmlformats.org/drawingml/2006/picture">
                <pic:pic>
                  <pic:nvPicPr>
                    <pic:cNvPr id="0" name="ebay_tableau_trends.png"/>
                    <pic:cNvPicPr/>
                  </pic:nvPicPr>
                  <pic:blipFill>
                    <a:blip r:embed="rId19"/>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2" name="Picture 12"/>
            <wp:cNvGraphicFramePr>
              <a:graphicFrameLocks noChangeAspect="1"/>
            </wp:cNvGraphicFramePr>
            <a:graphic>
              <a:graphicData uri="http://schemas.openxmlformats.org/drawingml/2006/picture">
                <pic:pic>
                  <pic:nvPicPr>
                    <pic:cNvPr id="0" name="ebay_gotham.png"/>
                    <pic:cNvPicPr/>
                  </pic:nvPicPr>
                  <pic:blipFill>
                    <a:blip r:embed="rId20"/>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Action/Buying 이탈·전환 분석 — User Action Stream 관점의 리소스 우선순위 결정 (Oracle SQL, Hive, Zeplin)</w:t>
      </w:r>
    </w:p>
    <w:p>
      <w:pPr>
        <w:spacing w:before="40" w:after="40" w:line="324" w:lineRule="auto"/>
        <w:ind w:left="1020" w:hanging="283"/>
      </w:pPr>
      <w:r>
        <w:rPr>
          <w:rFonts w:ascii="Calibri" w:hAnsi="Calibri" w:eastAsia="맑은 고딕"/>
          <w:color w:val="333333"/>
          <w:sz w:val="20"/>
        </w:rPr>
        <w:t>– Global eBay와 동일 Standard의 KPI 'Searched Session Per GMV' 수집 로직 기획·분석 (MySQL, Hive, Tableau, Zeplin)</w:t>
      </w:r>
    </w:p>
    <w:p>
      <w:pPr>
        <w:spacing w:before="40" w:after="40" w:line="324" w:lineRule="auto"/>
        <w:ind w:left="1020" w:hanging="283"/>
      </w:pPr>
      <w:r>
        <w:rPr>
          <w:rFonts w:ascii="Calibri" w:hAnsi="Calibri" w:eastAsia="맑은 고딕"/>
          <w:color w:val="333333"/>
          <w:sz w:val="20"/>
        </w:rPr>
        <w:t>– Business Unit KPI — User Journey 단위 Domain Value 지표 기획: 직접 구매가 발생하지 않는 도메인의 평가 지표 산출 (Hive SQL, Python)</w:t>
      </w:r>
    </w:p>
    <w:p>
      <w:pPr>
        <w:spacing w:before="40" w:after="40" w:line="324" w:lineRule="auto"/>
        <w:ind w:left="1020" w:hanging="283"/>
      </w:pPr>
      <w:r>
        <w:rPr>
          <w:rFonts w:ascii="Calibri" w:hAnsi="Calibri" w:eastAsia="맑은 고딕"/>
          <w:color w:val="333333"/>
          <w:sz w:val="20"/>
        </w:rPr>
        <w:t>– Data Session 정합성 관제 리포팅 — 수집 시스템의 정합성 실시간 모니터링 (ElasticSearch, Kibana, D3.js)</w:t>
      </w:r>
    </w:p>
    <w:p>
      <w:pPr>
        <w:spacing w:before="40" w:after="40" w:line="324" w:lineRule="auto"/>
        <w:ind w:left="1020" w:hanging="283"/>
      </w:pPr>
      <w:r>
        <w:rPr>
          <w:rFonts w:ascii="Calibri" w:hAnsi="Calibri" w:eastAsia="맑은 고딕"/>
          <w:color w:val="333333"/>
          <w:sz w:val="20"/>
        </w:rPr>
        <w:t>– ATO(Account Takeover) 추적분석 — 분석 집단에서의 이상 접근 제외를 위한 ATO 인정기준 수립 (Hive SQL, Tableau)</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Business 의사결정 Data 분석:</w:t>
      </w:r>
    </w:p>
    <w:p>
      <w:pPr>
        <w:spacing w:before="40" w:after="40" w:line="324" w:lineRule="auto"/>
        <w:ind w:left="1020" w:hanging="283"/>
      </w:pPr>
      <w:r>
        <w:rPr>
          <w:rFonts w:ascii="Calibri" w:hAnsi="Calibri" w:eastAsia="맑은 고딕"/>
          <w:color w:val="333333"/>
          <w:sz w:val="20"/>
        </w:rPr>
        <w:t>– 상품 Category 재분류를 위한 연관성 분석 — User 연관구매 상품 Group 단위의 Category 개편 Standard 도출 (R, MySQL)</w:t>
      </w:r>
    </w:p>
    <w:p>
      <w:pPr>
        <w:spacing w:before="40" w:after="40" w:line="324" w:lineRule="auto"/>
        <w:ind w:left="1020" w:hanging="283"/>
      </w:pPr>
      <w:r>
        <w:rPr>
          <w:rFonts w:ascii="Calibri" w:hAnsi="Calibri" w:eastAsia="맑은 고딕"/>
          <w:color w:val="333333"/>
          <w:sz w:val="20"/>
        </w:rPr>
        <w:t>– Super Deal 구좌 분배 최적화 — 방문·구매·매출 관점에서 최적 효율 Inventory 구성 (Hive SQL, MySQL, Python)</w:t>
      </w:r>
    </w:p>
    <w:p>
      <w:pPr>
        <w:spacing w:before="40" w:after="20" w:line="336" w:lineRule="auto"/>
        <w:ind w:left="283"/>
      </w:pPr>
      <w:r>
        <w:rPr>
          <w:rFonts w:ascii="Calibri" w:hAnsi="Calibri" w:eastAsia="맑은 고딕"/>
          <w:b/>
          <w:color w:val="2563EB"/>
          <w:sz w:val="20"/>
        </w:rPr>
        <w:t xml:space="preserve">    MKT Target User Data 분석:</w:t>
      </w:r>
    </w:p>
    <w:p>
      <w:pPr>
        <w:spacing w:before="40" w:after="40" w:line="324" w:lineRule="auto"/>
        <w:ind w:left="1020" w:hanging="283"/>
      </w:pPr>
      <w:r>
        <w:rPr>
          <w:rFonts w:ascii="Calibri" w:hAnsi="Calibri" w:eastAsia="맑은 고딕"/>
          <w:color w:val="333333"/>
          <w:sz w:val="20"/>
        </w:rPr>
        <w:t>– Membership MKT '취미 연구소' 기획·실행 — Push MKT를 위한 User별 관심상품군 Grouping Data 추출. 2015년 eBay Korea 영업BU 최우수 직원상 수상, BU 직원 대상 실적 우수사례 Case Presentation 진행</w:t>
      </w:r>
    </w:p>
    <w:p>
      <w:pPr>
        <w:spacing w:before="40" w:after="40" w:line="324" w:lineRule="auto"/>
        <w:ind w:left="1020" w:hanging="283"/>
      </w:pPr>
      <w:r>
        <w:rPr>
          <w:rFonts w:ascii="Calibri" w:hAnsi="Calibri" w:eastAsia="맑은 고딕"/>
          <w:color w:val="333333"/>
          <w:sz w:val="20"/>
        </w:rPr>
        <w:t>– O2O 스마트 모빌리티 프로젝트 기획·실행 — 외부 채널 마케팅 기획, 제휴 업체 선정 및 관리</w:t>
      </w:r>
    </w:p>
    <w:p>
      <w:pPr>
        <w:spacing w:before="40" w:after="40" w:line="324" w:lineRule="auto"/>
        <w:ind w:left="1020" w:hanging="283"/>
      </w:pPr>
      <w:r>
        <w:rPr>
          <w:rFonts w:ascii="Calibri" w:hAnsi="Calibri" w:eastAsia="맑은 고딕"/>
          <w:color w:val="333333"/>
          <w:sz w:val="20"/>
        </w:rPr>
        <w:t>– 52주 Seasonal 패턴 분석 — 시즌 단위 Promotion Schedule 기획 및 MKT Resource 배분</w:t>
      </w:r>
    </w:p>
    <w:p>
      <w:pPr>
        <w:spacing w:before="40" w:after="40" w:line="324" w:lineRule="auto"/>
        <w:ind w:left="1020" w:hanging="283"/>
      </w:pPr>
      <w:r>
        <w:rPr>
          <w:rFonts w:ascii="Calibri" w:hAnsi="Calibri" w:eastAsia="맑은 고딕"/>
          <w:color w:val="333333"/>
          <w:sz w:val="20"/>
        </w:rPr>
        <w:t>– 쿠폰 스펙(할인율, 최소 결제금액)과 타겟 그룹(New/Return Buying)별 최적 조합 도출</w:t>
      </w:r>
    </w:p>
    <w:p>
      <w:pPr>
        <w:spacing w:before="160" w:after="40"/>
        <w:jc w:val="center"/>
      </w:pPr>
      <w:r>
        <w:drawing>
          <wp:inline xmlns:a="http://schemas.openxmlformats.org/drawingml/2006/main" xmlns:pic="http://schemas.openxmlformats.org/drawingml/2006/picture">
            <wp:extent cx="5029200" cy="1793747"/>
            <wp:docPr id="13" name="Picture 13"/>
            <wp:cNvGraphicFramePr>
              <a:graphicFrameLocks noChangeAspect="1"/>
            </wp:cNvGraphicFramePr>
            <a:graphic>
              <a:graphicData uri="http://schemas.openxmlformats.org/drawingml/2006/picture">
                <pic:pic>
                  <pic:nvPicPr>
                    <pic:cNvPr id="0" name="ebay_r_analysis.png"/>
                    <pic:cNvPicPr/>
                  </pic:nvPicPr>
                  <pic:blipFill>
                    <a:blip r:embed="rId21"/>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2023</w:t>
            </w:r>
          </w:p>
        </w:tc>
        <w:tc>
          <w:tcPr>
            <w:tcW w:type="dxa" w:w="2351"/>
            <w:vAlign w:val="center"/>
          </w:tcPr>
          <w:p>
            <w:pPr>
              <w:spacing w:before="60" w:after="60"/>
            </w:pPr>
            <w:r/>
            <w:r>
              <w:rPr>
                <w:rFonts w:ascii="Calibri" w:hAnsi="Calibri" w:eastAsia="맑은 고딕"/>
                <w:b/>
                <w:color w:val="333333"/>
                <w:sz w:val="20"/>
              </w:rPr>
              <w:t>마켓플레이스 부문 우수자 (상금 100만 원)</w:t>
            </w:r>
          </w:p>
        </w:tc>
        <w:tc>
          <w:tcPr>
            <w:tcW w:type="dxa" w:w="2351"/>
            <w:vAlign w:val="center"/>
          </w:tcPr>
          <w:p>
            <w:pPr>
              <w:spacing w:before="60" w:after="60"/>
            </w:pPr>
            <w:r/>
            <w:r>
              <w:rPr>
                <w:rFonts w:ascii="Calibri" w:hAnsi="Calibri" w:eastAsia="맑은 고딕"/>
                <w:b w:val="0"/>
                <w:color w:val="333333"/>
                <w:sz w:val="20"/>
              </w:rPr>
              <w:t>23년 상반기 3P Marketplace BI 성과 우수</w:t>
            </w:r>
          </w:p>
        </w:tc>
        <w:tc>
          <w:tcPr>
            <w:tcW w:type="dxa" w:w="2351"/>
            <w:vAlign w:val="center"/>
          </w:tcPr>
          <w:p>
            <w:pPr>
              <w:spacing w:before="60" w:after="60"/>
              <w:jc w:val="center"/>
            </w:pPr>
            <w:r/>
            <w:r>
              <w:rPr>
                <w:rFonts w:ascii="Calibri" w:hAnsi="Calibri" w:eastAsia="맑은 고딕"/>
                <w:b w:val="0"/>
                <w:color w:val="333333"/>
                <w:sz w:val="20"/>
              </w:rPr>
              <w:t>Coupang</w:t>
            </w:r>
          </w:p>
        </w:tc>
      </w:tr>
      <w:tr>
        <w:tc>
          <w:tcPr>
            <w:tcW w:type="dxa" w:w="2351"/>
            <w:shd w:fill="F0F4FF" w:val="clear"/>
            <w:vAlign w:val="center"/>
          </w:tcPr>
          <w:p>
            <w:pPr>
              <w:spacing w:before="60" w:after="60"/>
              <w:jc w:val="center"/>
            </w:pPr>
            <w:r/>
            <w:r>
              <w:rPr>
                <w:rFonts w:ascii="Calibri" w:hAnsi="Calibri" w:eastAsia="맑은 고딕"/>
                <w:b w:val="0"/>
                <w:color w:val="333333"/>
                <w:sz w:val="20"/>
              </w:rPr>
              <w:t>2019</w:t>
            </w:r>
          </w:p>
        </w:tc>
        <w:tc>
          <w:tcPr>
            <w:tcW w:type="dxa" w:w="2351"/>
            <w:shd w:fill="F0F4FF" w:val="clear"/>
            <w:vAlign w:val="center"/>
          </w:tcPr>
          <w:p>
            <w:pPr>
              <w:spacing w:before="60" w:after="60"/>
            </w:pPr>
            <w:r/>
            <w:r>
              <w:rPr>
                <w:rFonts w:ascii="Calibri" w:hAnsi="Calibri" w:eastAsia="맑은 고딕"/>
                <w:b/>
                <w:color w:val="333333"/>
                <w:sz w:val="20"/>
              </w:rPr>
              <w:t>2Q PIC Unit Award</w:t>
            </w:r>
          </w:p>
        </w:tc>
        <w:tc>
          <w:tcPr>
            <w:tcW w:type="dxa" w:w="2351"/>
            <w:shd w:fill="F0F4FF" w:val="clear"/>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r>
        <w:tc>
          <w:tcPr>
            <w:tcW w:type="dxa" w:w="2351"/>
            <w:vAlign w:val="center"/>
          </w:tcPr>
          <w:p>
            <w:pPr>
              <w:spacing w:before="60" w:after="60"/>
              <w:jc w:val="center"/>
            </w:pPr>
            <w:r/>
            <w:r>
              <w:rPr>
                <w:rFonts w:ascii="Calibri" w:hAnsi="Calibri" w:eastAsia="맑은 고딕"/>
                <w:b w:val="0"/>
                <w:color w:val="333333"/>
                <w:sz w:val="20"/>
              </w:rPr>
              <w:t>2015</w:t>
            </w:r>
          </w:p>
        </w:tc>
        <w:tc>
          <w:tcPr>
            <w:tcW w:type="dxa" w:w="2351"/>
            <w:vAlign w:val="center"/>
          </w:tcPr>
          <w:p>
            <w:pPr>
              <w:spacing w:before="60" w:after="60"/>
            </w:pPr>
            <w:r/>
            <w:r>
              <w:rPr>
                <w:rFonts w:ascii="Calibri" w:hAnsi="Calibri" w:eastAsia="맑은 고딕"/>
                <w:b/>
                <w:color w:val="333333"/>
                <w:sz w:val="20"/>
              </w:rPr>
              <w:t>영업BU 최우수 직원상</w:t>
            </w:r>
          </w:p>
        </w:tc>
        <w:tc>
          <w:tcPr>
            <w:tcW w:type="dxa" w:w="2351"/>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2023</w:t>
            </w:r>
          </w:p>
        </w:tc>
        <w:tc>
          <w:tcPr>
            <w:tcW w:type="dxa" w:w="3135"/>
            <w:shd w:fill="F0F4FF" w:val="clear"/>
            <w:vAlign w:val="center"/>
          </w:tcPr>
          <w:p>
            <w:pPr>
              <w:spacing w:before="60" w:after="60"/>
            </w:pPr>
            <w:r/>
            <w:r>
              <w:rPr>
                <w:rFonts w:ascii="Calibri" w:hAnsi="Calibri" w:eastAsia="맑은 고딕"/>
                <w:b/>
                <w:color w:val="333333"/>
                <w:sz w:val="18"/>
              </w:rPr>
              <w:t>마켓플레이스 부문 우수자 수상</w:t>
            </w:r>
          </w:p>
        </w:tc>
        <w:tc>
          <w:tcPr>
            <w:tcW w:type="dxa" w:w="3135"/>
            <w:shd w:fill="F0F4FF" w:val="clear"/>
            <w:vAlign w:val="center"/>
          </w:tcPr>
          <w:p>
            <w:pPr>
              <w:spacing w:before="60" w:after="60"/>
            </w:pPr>
            <w:r/>
            <w:r>
              <w:rPr>
                <w:rFonts w:ascii="Calibri" w:hAnsi="Calibri" w:eastAsia="맑은 고딕"/>
                <w:b w:val="0"/>
                <w:color w:val="555555"/>
                <w:sz w:val="18"/>
              </w:rPr>
              <w:t>상금 100만 원 — BI 성과 우수</w:t>
            </w:r>
          </w:p>
        </w:tc>
      </w:tr>
      <w:tr>
        <w:tc>
          <w:tcPr>
            <w:tcW w:type="dxa" w:w="3135"/>
            <w:vAlign w:val="center"/>
          </w:tcPr>
          <w:p>
            <w:pPr>
              <w:spacing w:before="60" w:after="60"/>
              <w:jc w:val="center"/>
            </w:pPr>
            <w:r/>
            <w:r>
              <w:rPr>
                <w:rFonts w:ascii="Calibri" w:hAnsi="Calibri" w:eastAsia="맑은 고딕"/>
                <w:b/>
                <w:color w:val="2563EB"/>
                <w:sz w:val="18"/>
              </w:rPr>
              <w:t>2025.07</w:t>
            </w:r>
          </w:p>
        </w:tc>
        <w:tc>
          <w:tcPr>
            <w:tcW w:type="dxa" w:w="3135"/>
            <w:vAlign w:val="center"/>
          </w:tcPr>
          <w:p>
            <w:pPr>
              <w:spacing w:before="60" w:after="60"/>
            </w:pPr>
            <w:r/>
            <w:r>
              <w:rPr>
                <w:rFonts w:ascii="Calibri" w:hAnsi="Calibri" w:eastAsia="맑은 고딕"/>
                <w:b/>
                <w:color w:val="333333"/>
                <w:sz w:val="18"/>
              </w:rPr>
              <w:t>Tving 입사</w:t>
            </w:r>
          </w:p>
        </w:tc>
        <w:tc>
          <w:tcPr>
            <w:tcW w:type="dxa" w:w="3135"/>
            <w:vAlign w:val="center"/>
          </w:tcPr>
          <w:p>
            <w:pPr>
              <w:spacing w:before="60" w:after="60"/>
            </w:pPr>
            <w:r/>
            <w:r>
              <w:rPr>
                <w:rFonts w:ascii="Calibri" w:hAnsi="Calibri" w:eastAsia="맑은 고딕"/>
                <w:b w:val="0"/>
                <w:color w:val="555555"/>
                <w:sz w:val="18"/>
              </w:rPr>
              <w:t>Data Analyst Team 팀장</w:t>
            </w:r>
          </w:p>
        </w:tc>
      </w:tr>
      <w:tr>
        <w:tc>
          <w:tcPr>
            <w:tcW w:type="dxa" w:w="3135"/>
            <w:shd w:fill="F0F4FF" w:val="clear"/>
            <w:vAlign w:val="center"/>
          </w:tcPr>
          <w:p>
            <w:pPr>
              <w:spacing w:before="60" w:after="60"/>
              <w:jc w:val="center"/>
            </w:pPr>
            <w:r/>
            <w:r>
              <w:rPr>
                <w:rFonts w:ascii="Calibri" w:hAnsi="Calibri" w:eastAsia="맑은 고딕"/>
                <w:b/>
                <w:color w:val="2563EB"/>
                <w:sz w:val="18"/>
              </w:rPr>
              <w:t>현재</w:t>
            </w:r>
          </w:p>
        </w:tc>
        <w:tc>
          <w:tcPr>
            <w:tcW w:type="dxa" w:w="3135"/>
            <w:shd w:fill="F0F4FF" w:val="clear"/>
            <w:vAlign w:val="center"/>
          </w:tcPr>
          <w:p>
            <w:pPr>
              <w:spacing w:before="60" w:after="60"/>
            </w:pPr>
            <w:r/>
            <w:r>
              <w:rPr>
                <w:rFonts w:ascii="Calibri" w:hAnsi="Calibri" w:eastAsia="맑은 고딕"/>
                <w:b/>
                <w:color w:val="333333"/>
                <w:sz w:val="18"/>
              </w:rPr>
              <w:t>AI 분석 체계 구축 리딩</w:t>
            </w:r>
          </w:p>
        </w:tc>
        <w:tc>
          <w:tcPr>
            <w:tcW w:type="dxa" w:w="3135"/>
            <w:shd w:fill="F0F4FF" w:val="clear"/>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디지털 콘텐츠 서비스에서 KPI를 정의하고 대시보드를 구축하며, 실험을 설계하고 퍼널을 분석하여 비즈니스 성장을 데이터로 견인해 온 15년의 경험을 NAVER WEBTOON에서 펼치고 싶습니다. 전 세계 수천만 유저가 즐기는 웹툰 서비스의 데이터를 통해, 사업 성장을 가속화하고 전략적 방향성을 제시하는 데 기여하겠습니다.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