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토스뱅크 — Data Analyst 지원</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  가설 → 실험 → 검증 → 성장의 전 과정을 주도하는 분석가</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분석 리더</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비즈니스 문제를 정의하고, 가설을 수립하며, 실험으로 검증하고, 데이터 구조를 설계하여 반복 가능한 의사결정 체계를 만드는 것 — 15년간 이 과정을 네 개의 회사에서 반복해 왔습니다. 토스뱅크 Data Analyst 포지션에서 이 경험을 금융 서비스의 성장에 연결하고 싶습니다.</w:t>
      </w:r>
    </w:p>
    <w:p>
      <w:pPr>
        <w:spacing w:before="0" w:after="200" w:line="360" w:lineRule="auto"/>
      </w:pPr>
      <w:r>
        <w:rPr>
          <w:rFonts w:ascii="Calibri" w:hAnsi="Calibri" w:eastAsia="맑은 고딕"/>
          <w:b w:val="0"/>
          <w:color w:val="333333"/>
          <w:sz w:val="21"/>
        </w:rPr>
        <w:t>Coupang에서 5년간 BI Principal로서 AB Test 플랫폼(XPC)을 활용한 실험 설계·검증을 수십 건 수행했고, AARRR 퍼널로 셀러 라이프사이클의 구조적 병목을 찾아냈으며, Cohort 분석으로 장기 리텐션의 핵심 동인을 증명했습니다. eBay Korea에서는 3개 사이트(Gmarket, Auction, G9)의 행동데이터 수집 시스템을 Owner PM으로 1.5년간 기획하고, Standard Query 체계와 데이터 거버넌스를 0에서 구축하여 '재사용 가능한 데이터 구조'의 기반을 만든 경험이 있습니다.</w:t>
      </w:r>
    </w:p>
    <w:p>
      <w:pPr>
        <w:spacing w:before="0" w:after="320" w:line="360" w:lineRule="auto"/>
      </w:pPr>
      <w:r>
        <w:rPr>
          <w:rFonts w:ascii="Calibri" w:hAnsi="Calibri" w:eastAsia="맑은 고딕"/>
          <w:b w:val="0"/>
          <w:color w:val="333333"/>
          <w:sz w:val="21"/>
        </w:rPr>
        <w:t>현재 Tving에서는 AI/LLM을 분석 업무에 직접 적용하고 있습니다. 자연어→SQL 자동 생성 시스템, KPI 이상 자동 감지·분석 대시보드, LLM 기반 챗봇을 직접 설계·구축했으며, GMM 클러스터링으로 고객 LTV를 산출하고 이탈 위험군을 조기 감지하는 체계를 운영하고 있습니다. 복잡한 비즈니스 로직을 SQL로 구현하고, Python/R로 깊이 있는 분석을 수행하며, 그 결과를 이해하기 쉽게 전달하여 의사결정을 이끄는 것이 저의 핵심 역량입니다.</w:t>
      </w:r>
    </w:p>
    <w:p>
      <w:pPr>
        <w:pStyle w:val="Heading1"/>
      </w:pPr>
      <w:r>
        <w:t>지원 포지션 적합성</w:t>
      </w:r>
    </w:p>
    <w:p>
      <w:pPr>
        <w:spacing w:before="0" w:after="200" w:line="336" w:lineRule="auto"/>
      </w:pPr>
      <w:r>
        <w:rPr>
          <w:rFonts w:ascii="Calibri" w:hAnsi="Calibri" w:eastAsia="맑은 고딕"/>
          <w:b w:val="0"/>
          <w:color w:val="555555"/>
          <w:sz w:val="20"/>
        </w:rPr>
        <w:t>토스뱅크가 찾는 역량 → 제가 증명한 경험</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2268"/>
            <w:shd w:fill="2563EB" w:val="clear"/>
            <w:vAlign w:val="center"/>
          </w:tcPr>
          <w:p>
            <w:pPr>
              <w:spacing w:before="60" w:after="60"/>
              <w:jc w:val="center"/>
            </w:pPr>
            <w:r/>
            <w:r>
              <w:rPr>
                <w:rFonts w:ascii="Calibri" w:hAnsi="Calibri" w:eastAsia="맑은 고딕"/>
                <w:b/>
                <w:color w:val="FFFFFF"/>
                <w:sz w:val="20"/>
              </w:rPr>
              <w:t>토스뱅크 요구 역량</w:t>
            </w:r>
          </w:p>
        </w:tc>
        <w:tc>
          <w:tcPr>
            <w:tcW w:type="dxa" w:w="7087"/>
            <w:shd w:fill="2563EB" w:val="clear"/>
            <w:vAlign w:val="center"/>
          </w:tcPr>
          <w:p>
            <w:pPr>
              <w:spacing w:before="60" w:after="60"/>
              <w:jc w:val="center"/>
            </w:pPr>
            <w:r/>
            <w:r>
              <w:rPr>
                <w:rFonts w:ascii="Calibri" w:hAnsi="Calibri" w:eastAsia="맑은 고딕"/>
                <w:b/>
                <w:color w:val="FFFFFF"/>
                <w:sz w:val="20"/>
              </w:rPr>
              <w:t>보유 경험</w:t>
            </w:r>
          </w:p>
        </w:tc>
      </w:tr>
      <w:tr>
        <w:tc>
          <w:tcPr>
            <w:tcW w:type="dxa" w:w="2268"/>
            <w:vAlign w:val="center"/>
          </w:tcPr>
          <w:p>
            <w:pPr>
              <w:spacing w:before="60" w:after="60"/>
            </w:pPr>
            <w:r/>
            <w:r>
              <w:rPr>
                <w:rFonts w:ascii="Calibri" w:hAnsi="Calibri" w:eastAsia="맑은 고딕"/>
                <w:b/>
                <w:color w:val="1E40AF"/>
                <w:sz w:val="19"/>
              </w:rPr>
              <w:t>문제 정의 → 가설 수립 →</w:t>
              <w:br/>
              <w:t>인과추론 &amp; AB Test 검증</w:t>
            </w:r>
          </w:p>
        </w:tc>
        <w:tc>
          <w:tcPr>
            <w:tcW w:type="dxa" w:w="7087"/>
            <w:vAlign w:val="center"/>
          </w:tcPr>
          <w:p>
            <w:pPr>
              <w:spacing w:before="60" w:after="60"/>
            </w:pPr>
            <w:r/>
            <w:r>
              <w:rPr>
                <w:rFonts w:ascii="Calibri" w:hAnsi="Calibri" w:eastAsia="맑은 고딕"/>
                <w:b w:val="0"/>
                <w:color w:val="333333"/>
                <w:sz w:val="19"/>
              </w:rPr>
              <w:t>Coupang: XPC 플랫폼 기반 AB Test 수십 건 설계·실행·통계 검증</w:t>
              <w:br/>
              <w:t>(FEP 가격 최적화, MyShop 묶음구매 UX, Auto Price 효과 등)</w:t>
              <w:br/>
              <w:t>Tving: '시청시간이 재구독의 선행 지표'임을 통계적으로 검증 → KPI 포뮬러 설계</w:t>
              <w:br/>
              <w:t>eBay: Deep Link Gate AB Test, 쿠폰 스펙별 최적 조합 도출</w:t>
            </w:r>
          </w:p>
        </w:tc>
      </w:tr>
      <w:tr>
        <w:tc>
          <w:tcPr>
            <w:tcW w:type="dxa" w:w="2268"/>
            <w:shd w:fill="F0F4FF" w:val="clear"/>
            <w:vAlign w:val="center"/>
          </w:tcPr>
          <w:p>
            <w:pPr>
              <w:spacing w:before="60" w:after="60"/>
            </w:pPr>
            <w:r/>
            <w:r>
              <w:rPr>
                <w:rFonts w:ascii="Calibri" w:hAnsi="Calibri" w:eastAsia="맑은 고딕"/>
                <w:b/>
                <w:color w:val="1E40AF"/>
                <w:sz w:val="19"/>
              </w:rPr>
              <w:t>복잡한 비즈니스 로직을</w:t>
              <w:br/>
              <w:t>SQL로 구현</w:t>
            </w:r>
          </w:p>
        </w:tc>
        <w:tc>
          <w:tcPr>
            <w:tcW w:type="dxa" w:w="7087"/>
            <w:shd w:fill="F0F4FF" w:val="clear"/>
            <w:vAlign w:val="center"/>
          </w:tcPr>
          <w:p>
            <w:pPr>
              <w:spacing w:before="60" w:after="60"/>
            </w:pPr>
            <w:r/>
            <w:r>
              <w:rPr>
                <w:rFonts w:ascii="Calibri" w:hAnsi="Calibri" w:eastAsia="맑은 고딕"/>
                <w:b w:val="0"/>
                <w:color w:val="333333"/>
                <w:sz w:val="19"/>
              </w:rPr>
              <w:t>15년간 Hive, Oracle, MySQL 등 SQL을 핵심 분석 도구로 활용</w:t>
              <w:br/>
              <w:t>Coupang: AARRR 퍼널, FEP 전환율, Cohort 리텐션 등 복잡한 비즈니스 로직 SQL 구현</w:t>
              <w:br/>
              <w:t>eBay: 3개 사이트 Standard Query 체계 정립 — 8개 핵심 지표 SQL 표준화</w:t>
            </w:r>
          </w:p>
        </w:tc>
      </w:tr>
      <w:tr>
        <w:tc>
          <w:tcPr>
            <w:tcW w:type="dxa" w:w="2268"/>
            <w:vAlign w:val="center"/>
          </w:tcPr>
          <w:p>
            <w:pPr>
              <w:spacing w:before="60" w:after="60"/>
            </w:pPr>
            <w:r/>
            <w:r>
              <w:rPr>
                <w:rFonts w:ascii="Calibri" w:hAnsi="Calibri" w:eastAsia="맑은 고딕"/>
                <w:b/>
                <w:color w:val="1E40AF"/>
                <w:sz w:val="19"/>
              </w:rPr>
              <w:t>재사용 가능한 데이터 구조</w:t>
              <w:br/>
              <w:t>설계 &amp; 정합성 검증</w:t>
            </w:r>
          </w:p>
        </w:tc>
        <w:tc>
          <w:tcPr>
            <w:tcW w:type="dxa" w:w="7087"/>
            <w:vAlign w:val="center"/>
          </w:tcPr>
          <w:p>
            <w:pPr>
              <w:spacing w:before="60" w:after="60"/>
            </w:pPr>
            <w:r/>
            <w:r>
              <w:rPr>
                <w:rFonts w:ascii="Calibri" w:hAnsi="Calibri" w:eastAsia="맑은 고딕"/>
                <w:b w:val="0"/>
                <w:color w:val="333333"/>
                <w:sz w:val="19"/>
              </w:rPr>
              <w:t>eBay: Montelena TF (Owner PM, 1.5년) — 행동데이터 수집 + 지표 표준화 + 거버넌스 0에서 구축</w:t>
              <w:br/>
              <w:t>Coupang: GA → 내부 DB 연결 ETL 파이프라인 (Airflow) 직접 설계·구축</w:t>
              <w:br/>
              <w:t>Tving: 전사 데이터 카탈로그(스키마, 컬럼 정의, 관계 매핑) 구조화</w:t>
            </w:r>
          </w:p>
        </w:tc>
      </w:tr>
      <w:tr>
        <w:tc>
          <w:tcPr>
            <w:tcW w:type="dxa" w:w="2268"/>
            <w:shd w:fill="F0F4FF" w:val="clear"/>
            <w:vAlign w:val="center"/>
          </w:tcPr>
          <w:p>
            <w:pPr>
              <w:spacing w:before="60" w:after="60"/>
            </w:pPr>
            <w:r/>
            <w:r>
              <w:rPr>
                <w:rFonts w:ascii="Calibri" w:hAnsi="Calibri" w:eastAsia="맑은 고딕"/>
                <w:b/>
                <w:color w:val="1E40AF"/>
                <w:sz w:val="19"/>
              </w:rPr>
              <w:t>AI / LLM 활용</w:t>
              <w:br/>
              <w:t>업무 효율화 (우대)</w:t>
            </w:r>
          </w:p>
        </w:tc>
        <w:tc>
          <w:tcPr>
            <w:tcW w:type="dxa" w:w="7087"/>
            <w:shd w:fill="F0F4FF" w:val="clear"/>
            <w:vAlign w:val="center"/>
          </w:tcPr>
          <w:p>
            <w:pPr>
              <w:spacing w:before="60" w:after="60"/>
            </w:pPr>
            <w:r/>
            <w:r>
              <w:rPr>
                <w:rFonts w:ascii="Calibri" w:hAnsi="Calibri" w:eastAsia="맑은 고딕"/>
                <w:b w:val="0"/>
                <w:color w:val="333333"/>
                <w:sz w:val="19"/>
              </w:rPr>
              <w:t>Tving: NL→SQL 자동 생성·실행, AI KPI 자동 모니터링 &amp; 원인 분석 대시보드,</w:t>
              <w:br/>
              <w:t>LLM 챗봇 (비분석가도 자연어로 데이터 접근), AI Auto-Retraining 예측 파이프라인</w:t>
              <w:br/>
              <w:t>→ 분석가의 반복 업무를 AI가 대체하여 전략적 분석에 집중하는 환경 조성</w:t>
            </w:r>
          </w:p>
        </w:tc>
      </w:tr>
      <w:tr>
        <w:tc>
          <w:tcPr>
            <w:tcW w:type="dxa" w:w="2268"/>
            <w:vAlign w:val="center"/>
          </w:tcPr>
          <w:p>
            <w:pPr>
              <w:spacing w:before="60" w:after="60"/>
            </w:pPr>
            <w:r/>
            <w:r>
              <w:rPr>
                <w:rFonts w:ascii="Calibri" w:hAnsi="Calibri" w:eastAsia="맑은 고딕"/>
                <w:b/>
                <w:color w:val="1E40AF"/>
                <w:sz w:val="19"/>
              </w:rPr>
              <w:t>LTV · AARRR · Cohort ·</w:t>
              <w:br/>
              <w:t>Funnel 분석</w:t>
            </w:r>
          </w:p>
        </w:tc>
        <w:tc>
          <w:tcPr>
            <w:tcW w:type="dxa" w:w="7087"/>
            <w:vAlign w:val="center"/>
          </w:tcPr>
          <w:p>
            <w:pPr>
              <w:spacing w:before="60" w:after="60"/>
            </w:pPr>
            <w:r/>
            <w:r>
              <w:rPr>
                <w:rFonts w:ascii="Calibri" w:hAnsi="Calibri" w:eastAsia="맑은 고딕"/>
                <w:b w:val="0"/>
                <w:color w:val="333333"/>
                <w:sz w:val="19"/>
              </w:rPr>
              <w:t>Coupang: 셀러 AARRR (SignUp→Live→Active→GMV) End-to-End 퍼널 + Cohort 리텐션</w:t>
              <w:br/>
              <w:t>Tving: GMM 기반 클러스터별 LTV 산출, 이탈 위험군 조기 감지 체계</w:t>
              <w:br/>
              <w:t>eBay: Funnel 기반 도메인별 이탈/전환 분석, CRM 세그먼트</w:t>
            </w:r>
          </w:p>
        </w:tc>
      </w:tr>
      <w:tr>
        <w:tc>
          <w:tcPr>
            <w:tcW w:type="dxa" w:w="2268"/>
            <w:shd w:fill="F0F4FF" w:val="clear"/>
            <w:vAlign w:val="center"/>
          </w:tcPr>
          <w:p>
            <w:pPr>
              <w:spacing w:before="60" w:after="60"/>
            </w:pPr>
            <w:r/>
            <w:r>
              <w:rPr>
                <w:rFonts w:ascii="Calibri" w:hAnsi="Calibri" w:eastAsia="맑은 고딕"/>
                <w:b/>
                <w:color w:val="1E40AF"/>
                <w:sz w:val="19"/>
              </w:rPr>
              <w:t>커뮤니케이션 &amp; 설득</w:t>
            </w:r>
          </w:p>
        </w:tc>
        <w:tc>
          <w:tcPr>
            <w:tcW w:type="dxa" w:w="7087"/>
            <w:shd w:fill="F0F4FF" w:val="clear"/>
            <w:vAlign w:val="center"/>
          </w:tcPr>
          <w:p>
            <w:pPr>
              <w:spacing w:before="60" w:after="60"/>
            </w:pPr>
            <w:r/>
            <w:r>
              <w:rPr>
                <w:rFonts w:ascii="Calibri" w:hAnsi="Calibri" w:eastAsia="맑은 고딕"/>
                <w:b w:val="0"/>
                <w:color w:val="333333"/>
                <w:sz w:val="19"/>
              </w:rPr>
              <w:t>Coupang: CPC→FEP 전환을 데이터로 증명 → 3P Sales팀 설득 → 17만+ 상품 전환</w:t>
              <w:br/>
              <w:t>eBay: 전사 PM Unit 대상 Tagging System / MKT Deep Link Logic 프레젠테이션</w:t>
              <w:br/>
              <w:t>Tving: 경영진 대상 예측 모델링·KPI 포뮬러 의사결정 리포팅</w:t>
            </w:r>
          </w:p>
        </w:tc>
      </w:tr>
    </w:tbl>
    <w:p>
      <w:pPr>
        <w:pStyle w:val="Heading1"/>
      </w:pPr>
      <w:r>
        <w:t>경력 요약</w:t>
      </w:r>
    </w:p>
    <w:p>
      <w:pPr>
        <w:spacing w:before="0" w:after="200" w:line="336" w:lineRule="auto"/>
      </w:pPr>
      <w:r>
        <w:rPr>
          <w:rFonts w:ascii="Calibri" w:hAnsi="Calibri" w:eastAsia="맑은 고딕"/>
          <w:b w:val="0"/>
          <w:color w:val="555555"/>
          <w:sz w:val="20"/>
        </w:rPr>
        <w:t>총 경력 15년+ | 리테일 → e-Commerce → OTT | 가설·실험·검증 · SQL · 데이터 구조 · AI/LLM</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SQL &amp; Data</w:t>
            </w:r>
          </w:p>
        </w:tc>
        <w:tc>
          <w:tcPr>
            <w:tcW w:type="dxa" w:w="7370"/>
            <w:vAlign w:val="center"/>
          </w:tcPr>
          <w:p>
            <w:pPr>
              <w:spacing w:before="60" w:after="60"/>
            </w:pPr>
            <w:r/>
            <w:r>
              <w:rPr>
                <w:rFonts w:ascii="Calibri" w:hAnsi="Calibri" w:eastAsia="맑은 고딕"/>
                <w:b w:val="0"/>
                <w:color w:val="333333"/>
                <w:sz w:val="20"/>
              </w:rPr>
              <w:t>SQL (Hive/Oracle/MySQL/Impala) — 복잡한 비즈니스 로직 구현 15년+, 데이터 마트 설계, Standard Query 체계 정립, 데이터 거버넌스, Tableau, Python (Jupyter)</w:t>
            </w:r>
          </w:p>
        </w:tc>
      </w:tr>
      <w:tr>
        <w:tc>
          <w:tcPr>
            <w:tcW w:type="dxa" w:w="1984"/>
            <w:shd w:fill="EFF6FF" w:val="clear"/>
            <w:vAlign w:val="center"/>
          </w:tcPr>
          <w:p>
            <w:pPr>
              <w:spacing w:before="60" w:after="60"/>
              <w:jc w:val="center"/>
            </w:pPr>
            <w:r/>
            <w:r>
              <w:rPr>
                <w:rFonts w:ascii="Calibri" w:hAnsi="Calibri" w:eastAsia="맑은 고딕"/>
                <w:b/>
                <w:color w:val="2563EB"/>
                <w:sz w:val="20"/>
              </w:rPr>
              <w:t>Experimentation</w:t>
            </w:r>
          </w:p>
        </w:tc>
        <w:tc>
          <w:tcPr>
            <w:tcW w:type="dxa" w:w="7370"/>
            <w:shd w:fill="FAFBFF" w:val="clear"/>
            <w:vAlign w:val="center"/>
          </w:tcPr>
          <w:p>
            <w:pPr>
              <w:spacing w:before="60" w:after="60"/>
            </w:pPr>
            <w:r/>
            <w:r>
              <w:rPr>
                <w:rFonts w:ascii="Calibri" w:hAnsi="Calibri" w:eastAsia="맑은 고딕"/>
                <w:b w:val="0"/>
                <w:color w:val="333333"/>
                <w:sz w:val="20"/>
              </w:rPr>
              <w:t>AB Testing (Coupang XPC 플랫폼 수십 건), 가설 수립 → 실험 설계 → 통계 검증, 인과추론, 프로덕트·BM 개선 실험, 의사결정 지원 리포트</w:t>
            </w:r>
          </w:p>
        </w:tc>
      </w:tr>
      <w:tr>
        <w:tc>
          <w:tcPr>
            <w:tcW w:type="dxa" w:w="1984"/>
            <w:shd w:fill="EFF6FF" w:val="clear"/>
            <w:vAlign w:val="center"/>
          </w:tcPr>
          <w:p>
            <w:pPr>
              <w:spacing w:before="60" w:after="60"/>
              <w:jc w:val="center"/>
            </w:pPr>
            <w:r/>
            <w:r>
              <w:rPr>
                <w:rFonts w:ascii="Calibri" w:hAnsi="Calibri" w:eastAsia="맑은 고딕"/>
                <w:b/>
                <w:color w:val="2563EB"/>
                <w:sz w:val="20"/>
              </w:rPr>
              <w:t>Growth Analytics</w:t>
            </w:r>
          </w:p>
        </w:tc>
        <w:tc>
          <w:tcPr>
            <w:tcW w:type="dxa" w:w="7370"/>
            <w:vAlign w:val="center"/>
          </w:tcPr>
          <w:p>
            <w:pPr>
              <w:spacing w:before="60" w:after="60"/>
            </w:pPr>
            <w:r/>
            <w:r>
              <w:rPr>
                <w:rFonts w:ascii="Calibri" w:hAnsi="Calibri" w:eastAsia="맑은 고딕"/>
                <w:b w:val="0"/>
                <w:color w:val="333333"/>
                <w:sz w:val="20"/>
              </w:rPr>
              <w:t>AARRR Framework, Funnel Analysis, Cohort Analysis, LTV 분석, KPI 정의·설계, 대시보드 구축, 로그 데이터 기반 사용자 행동 분석, CRM 세그먼트</w:t>
            </w:r>
          </w:p>
        </w:tc>
      </w:tr>
      <w:tr>
        <w:tc>
          <w:tcPr>
            <w:tcW w:type="dxa" w:w="1984"/>
            <w:shd w:fill="EFF6FF" w:val="clear"/>
            <w:vAlign w:val="center"/>
          </w:tcPr>
          <w:p>
            <w:pPr>
              <w:spacing w:before="60" w:after="60"/>
              <w:jc w:val="center"/>
            </w:pPr>
            <w:r/>
            <w:r>
              <w:rPr>
                <w:rFonts w:ascii="Calibri" w:hAnsi="Calibri" w:eastAsia="맑은 고딕"/>
                <w:b/>
                <w:color w:val="2563EB"/>
                <w:sz w:val="20"/>
              </w:rPr>
              <w:t>AI / LLM</w:t>
            </w:r>
          </w:p>
        </w:tc>
        <w:tc>
          <w:tcPr>
            <w:tcW w:type="dxa" w:w="7370"/>
            <w:shd w:fill="FAFBFF" w:val="clear"/>
            <w:vAlign w:val="center"/>
          </w:tcPr>
          <w:p>
            <w:pPr>
              <w:spacing w:before="60" w:after="60"/>
            </w:pPr>
            <w:r/>
            <w:r>
              <w:rPr>
                <w:rFonts w:ascii="Calibri" w:hAnsi="Calibri" w:eastAsia="맑은 고딕"/>
                <w:b w:val="0"/>
                <w:color w:val="333333"/>
                <w:sz w:val="20"/>
              </w:rPr>
              <w:t>NL→SQL 자동 생성·실행, AI KPI 자동 모니터링 대시보드, LLM 챗봇 구축, GMM 클러스터링, 예측 모델링(Bottom-Up), AI Auto-Retraining 파이프라인</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ving_ai_dashboard.jpg"/>
                    <pic:cNvPicPr/>
                  </pic:nvPicPr>
                  <pic:blipFill>
                    <a:blip r:embed="rId9"/>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AI 지능형 대시보드 — AI-Dave 자동 인사이트 생성 &amp; 챗봇 통합 화면</w:t>
      </w: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ving_kpi_breakdown.jpg"/>
                    <pic:cNvPicPr/>
                  </pic:nvPicPr>
                  <pic:blipFill>
                    <a:blip r:embed="rId10"/>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KPI 포뮬러 분해 대시보드 — Watch Hour = User Traffic × 시청 전환율 × 시청시간/전환</w:t>
      </w: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3" name="Picture 3"/>
            <wp:cNvGraphicFramePr>
              <a:graphicFrameLocks noChangeAspect="1"/>
            </wp:cNvGraphicFramePr>
            <a:graphic>
              <a:graphicData uri="http://schemas.openxmlformats.org/drawingml/2006/picture">
                <pic:pic>
                  <pic:nvPicPr>
                    <pic:cNvPr id="0" name="coupang_ab_test.png"/>
                    <pic:cNvPicPr/>
                  </pic:nvPicPr>
                  <pic:blipFill>
                    <a:blip r:embed="rId11"/>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4" name="Picture 4"/>
            <wp:cNvGraphicFramePr>
              <a:graphicFrameLocks noChangeAspect="1"/>
            </wp:cNvGraphicFramePr>
            <a:graphic>
              <a:graphicData uri="http://schemas.openxmlformats.org/drawingml/2006/picture">
                <pic:pic>
                  <pic:nvPicPr>
                    <pic:cNvPr id="0" name="coupang_cpi_dashboard.png"/>
                    <pic:cNvPicPr/>
                  </pic:nvPicPr>
                  <pic:blipFill>
                    <a:blip r:embed="rId12"/>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coupang_seller_funnel.png"/>
                    <pic:cNvPicPr/>
                  </pic:nvPicPr>
                  <pic:blipFill>
                    <a:blip r:embed="rId13"/>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6" name="Picture 6"/>
            <wp:cNvGraphicFramePr>
              <a:graphicFrameLocks noChangeAspect="1"/>
            </wp:cNvGraphicFramePr>
            <a:graphic>
              <a:graphicData uri="http://schemas.openxmlformats.org/drawingml/2006/picture">
                <pic:pic>
                  <pic:nvPicPr>
                    <pic:cNvPr id="0" name="coupang_seller_cohort.png"/>
                    <pic:cNvPicPr/>
                  </pic:nvPicPr>
                  <pic:blipFill>
                    <a:blip r:embed="rId14"/>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7" name="Picture 7"/>
            <wp:cNvGraphicFramePr>
              <a:graphicFrameLocks noChangeAspect="1"/>
            </wp:cNvGraphicFramePr>
            <a:graphic>
              <a:graphicData uri="http://schemas.openxmlformats.org/drawingml/2006/picture">
                <pic:pic>
                  <pic:nvPicPr>
                    <pic:cNvPr id="0" name="coupang_gmv_dashboard.png"/>
                    <pic:cNvPicPr/>
                  </pic:nvPicPr>
                  <pic:blipFill>
                    <a:blip r:embed="rId15"/>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8" name="Picture 8"/>
            <wp:cNvGraphicFramePr>
              <a:graphicFrameLocks noChangeAspect="1"/>
            </wp:cNvGraphicFramePr>
            <a:graphic>
              <a:graphicData uri="http://schemas.openxmlformats.org/drawingml/2006/picture">
                <pic:pic>
                  <pic:nvPicPr>
                    <pic:cNvPr id="0" name="coupang_multi_dashboard.png"/>
                    <pic:cNvPicPr/>
                  </pic:nvPicPr>
                  <pic:blipFill>
                    <a:blip r:embed="rId16"/>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솔루션으로 데이터를 수집하고, 부서마다 PV, UV 등의 정의가 달라 전사 차원의 데이터 비교 자체가 불가능한 상황이었습니다.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3개 사이트의 행동데이터 수집 통일 + 지표 표준화(거버넌스) + 분석 서비스 제공까지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PV/UV/Click/Members 등 8개 핵심 지표의 Standard Query 정립 — 이 경험이 이후 Tving AI 쿼리 시스템 설계의 기반</w:t>
      </w:r>
    </w:p>
    <w:p>
      <w:pPr>
        <w:spacing w:before="40" w:after="40" w:line="324" w:lineRule="auto"/>
        <w:ind w:left="1020" w:hanging="283"/>
      </w:pPr>
      <w:r>
        <w:rPr>
          <w:rFonts w:ascii="Calibri" w:hAnsi="Calibri" w:eastAsia="맑은 고딕"/>
          <w:color w:val="333333"/>
          <w:sz w:val="20"/>
        </w:rPr>
        <w:t>– [태깅 시스템] 웹 컨테이너 자동 태깅을 시도했으나 레거시 시스템 제약으로 수동 태깅으로 전환, 비즈니스 임팩트가 큰 16개 핵심 도메인에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w:t>
      </w:r>
    </w:p>
    <w:p>
      <w:pPr>
        <w:spacing w:before="40" w:after="40" w:line="324" w:lineRule="auto"/>
        <w:ind w:left="1020" w:hanging="283"/>
      </w:pPr>
      <w:r>
        <w:rPr>
          <w:rFonts w:ascii="Calibri" w:hAnsi="Calibri" w:eastAsia="맑은 고딕"/>
          <w:color w:val="333333"/>
          <w:sz w:val="20"/>
        </w:rPr>
        <w:t>– [전파]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9" name="Picture 9"/>
            <wp:cNvGraphicFramePr>
              <a:graphicFrameLocks noChangeAspect="1"/>
            </wp:cNvGraphicFramePr>
            <a:graphic>
              <a:graphicData uri="http://schemas.openxmlformats.org/drawingml/2006/picture">
                <pic:pic>
                  <pic:nvPicPr>
                    <pic:cNvPr id="0" name="ebay_dashboard_design.png"/>
                    <pic:cNvPicPr/>
                  </pic:nvPicPr>
                  <pic:blipFill>
                    <a:blip r:embed="rId17"/>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(Main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Web→App 전환 시 사용자 식별이 유지되는 딥링크 게이트 로직을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10" name="Picture 10"/>
            <wp:cNvGraphicFramePr>
              <a:graphicFrameLocks noChangeAspect="1"/>
            </wp:cNvGraphicFramePr>
            <a:graphic>
              <a:graphicData uri="http://schemas.openxmlformats.org/drawingml/2006/picture">
                <pic:pic>
                  <pic:nvPicPr>
                    <pic:cNvPr id="0" name="ebay_tableau_kpi.png"/>
                    <pic:cNvPicPr/>
                  </pic:nvPicPr>
                  <pic:blipFill>
                    <a:blip r:embed="rId18"/>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11" name="Picture 11"/>
            <wp:cNvGraphicFramePr>
              <a:graphicFrameLocks noChangeAspect="1"/>
            </wp:cNvGraphicFramePr>
            <a:graphic>
              <a:graphicData uri="http://schemas.openxmlformats.org/drawingml/2006/picture">
                <pic:pic>
                  <pic:nvPicPr>
                    <pic:cNvPr id="0" name="ebay_tableau_trends.png"/>
                    <pic:cNvPicPr/>
                  </pic:nvPicPr>
                  <pic:blipFill>
                    <a:blip r:embed="rId19"/>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2" name="Picture 12"/>
            <wp:cNvGraphicFramePr>
              <a:graphicFrameLocks noChangeAspect="1"/>
            </wp:cNvGraphicFramePr>
            <a:graphic>
              <a:graphicData uri="http://schemas.openxmlformats.org/drawingml/2006/picture">
                <pic:pic>
                  <pic:nvPicPr>
                    <pic:cNvPr id="0" name="ebay_gotham.png"/>
                    <pic:cNvPicPr/>
                  </pic:nvPicPr>
                  <pic:blipFill>
                    <a:blip r:embed="rId20"/>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이탈/전환 분석 (Oracle SQL, Hive, Zeplin)</w:t>
      </w:r>
    </w:p>
    <w:p>
      <w:pPr>
        <w:spacing w:before="40" w:after="40" w:line="324" w:lineRule="auto"/>
        <w:ind w:left="1020" w:hanging="283"/>
      </w:pPr>
      <w:r>
        <w:rPr>
          <w:rFonts w:ascii="Calibri" w:hAnsi="Calibri" w:eastAsia="맑은 고딕"/>
          <w:color w:val="333333"/>
          <w:sz w:val="20"/>
        </w:rPr>
        <w:t>– Global KPI 'Searched Session Per GMV' 기획 (MySQL, Hive, Tableau, Zeplin)</w:t>
      </w:r>
    </w:p>
    <w:p>
      <w:pPr>
        <w:spacing w:before="40" w:after="40" w:line="324" w:lineRule="auto"/>
        <w:ind w:left="1020" w:hanging="283"/>
      </w:pPr>
      <w:r>
        <w:rPr>
          <w:rFonts w:ascii="Calibri" w:hAnsi="Calibri" w:eastAsia="맑은 고딕"/>
          <w:color w:val="333333"/>
          <w:sz w:val="20"/>
        </w:rPr>
        <w:t>– Domain Value 지표 기획 — 각 도메인의 매출 기여도 정량 산출 (Hive SQL, Python)</w:t>
      </w:r>
    </w:p>
    <w:p>
      <w:pPr>
        <w:spacing w:before="40" w:after="40" w:line="324" w:lineRule="auto"/>
        <w:ind w:left="1020" w:hanging="283"/>
      </w:pPr>
      <w:r>
        <w:rPr>
          <w:rFonts w:ascii="Calibri" w:hAnsi="Calibri" w:eastAsia="맑은 고딕"/>
          <w:color w:val="333333"/>
          <w:sz w:val="20"/>
        </w:rPr>
        <w:t>– Session 정합성 관제 리포팅 (ElasticSearch, Kibana, D3.js)</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상품 Category 재분류를 위한 연관성 분석 — Association Rule 기반 (R, MySQL)</w:t>
      </w:r>
    </w:p>
    <w:p>
      <w:pPr>
        <w:spacing w:before="40" w:after="40" w:line="324" w:lineRule="auto"/>
        <w:ind w:left="1020" w:hanging="283"/>
      </w:pPr>
      <w:r>
        <w:rPr>
          <w:rFonts w:ascii="Calibri" w:hAnsi="Calibri" w:eastAsia="맑은 고딕"/>
          <w:color w:val="333333"/>
          <w:sz w:val="20"/>
        </w:rPr>
        <w:t>– Super Deal 구좌 분배 최적화 — 노출 대비 전환율을 최대화하는 배분 로직 설계 (Hive SQL, MySQL, Python)</w:t>
      </w:r>
    </w:p>
    <w:p>
      <w:pPr>
        <w:spacing w:before="40" w:after="40" w:line="324" w:lineRule="auto"/>
        <w:ind w:left="1020" w:hanging="283"/>
      </w:pPr>
      <w:r>
        <w:rPr>
          <w:rFonts w:ascii="Calibri" w:hAnsi="Calibri" w:eastAsia="맑은 고딕"/>
          <w:color w:val="333333"/>
          <w:sz w:val="20"/>
        </w:rPr>
        <w:t>– Membership MKT '취미 연구소' 기획·실행, O2O 스마트 모빌리티 프로젝트 기획/실행</w:t>
      </w:r>
    </w:p>
    <w:p>
      <w:pPr>
        <w:spacing w:before="40" w:after="40" w:line="324" w:lineRule="auto"/>
        <w:ind w:left="1020" w:hanging="283"/>
      </w:pPr>
      <w:r>
        <w:rPr>
          <w:rFonts w:ascii="Calibri" w:hAnsi="Calibri" w:eastAsia="맑은 고딕"/>
          <w:color w:val="333333"/>
          <w:sz w:val="20"/>
        </w:rPr>
        <w:t>– 52주 Seasonal 패턴 분석, 쿠폰 스펙(할인율, 최소 결제금액)과 타겟 그룹별 최적 조합 도출</w:t>
      </w:r>
    </w:p>
    <w:p>
      <w:pPr>
        <w:spacing w:before="40" w:after="40" w:line="336" w:lineRule="auto"/>
        <w:ind w:left="283"/>
      </w:pPr>
      <w:r>
        <w:rPr>
          <w:rFonts w:ascii="Calibri" w:hAnsi="Calibri" w:eastAsia="맑은 고딕"/>
          <w:b/>
          <w:color w:val="2563EB"/>
          <w:sz w:val="20"/>
        </w:rPr>
        <w:t xml:space="preserve">    핵심 성과: </w:t>
      </w:r>
      <w:r>
        <w:rPr>
          <w:rFonts w:ascii="Calibri" w:hAnsi="Calibri" w:eastAsia="맑은 고딕"/>
          <w:b w:val="0"/>
          <w:color w:val="333333"/>
          <w:sz w:val="20"/>
        </w:rPr>
        <w:t>2015년 eBay Korea 영업BU 최우수 직원상 수상 — 데이터 기반 Sales 전략 기여를 인정</w:t>
      </w:r>
    </w:p>
    <w:p>
      <w:pPr>
        <w:spacing w:before="160" w:after="40"/>
        <w:jc w:val="center"/>
      </w:pPr>
      <w:r>
        <w:drawing>
          <wp:inline xmlns:a="http://schemas.openxmlformats.org/drawingml/2006/main" xmlns:pic="http://schemas.openxmlformats.org/drawingml/2006/picture">
            <wp:extent cx="5029200" cy="1793747"/>
            <wp:docPr id="13" name="Picture 13"/>
            <wp:cNvGraphicFramePr>
              <a:graphicFrameLocks noChangeAspect="1"/>
            </wp:cNvGraphicFramePr>
            <a:graphic>
              <a:graphicData uri="http://schemas.openxmlformats.org/drawingml/2006/picture">
                <pic:pic>
                  <pic:nvPicPr>
                    <pic:cNvPr id="0" name="ebay_r_analysis.png"/>
                    <pic:cNvPicPr/>
                  </pic:nvPicPr>
                  <pic:blipFill>
                    <a:blip r:embed="rId21"/>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2019</w:t>
            </w:r>
          </w:p>
        </w:tc>
        <w:tc>
          <w:tcPr>
            <w:tcW w:type="dxa" w:w="2351"/>
            <w:vAlign w:val="center"/>
          </w:tcPr>
          <w:p>
            <w:pPr>
              <w:spacing w:before="60" w:after="60"/>
            </w:pPr>
            <w:r/>
            <w:r>
              <w:rPr>
                <w:rFonts w:ascii="Calibri" w:hAnsi="Calibri" w:eastAsia="맑은 고딕"/>
                <w:b/>
                <w:color w:val="333333"/>
                <w:sz w:val="20"/>
              </w:rPr>
              <w:t>2Q PIC Unit Award</w:t>
            </w:r>
          </w:p>
        </w:tc>
        <w:tc>
          <w:tcPr>
            <w:tcW w:type="dxa" w:w="2351"/>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vAlign w:val="center"/>
          </w:tcPr>
          <w:p>
            <w:pPr>
              <w:spacing w:before="60" w:after="60"/>
              <w:jc w:val="center"/>
            </w:pPr>
            <w:r/>
            <w:r>
              <w:rPr>
                <w:rFonts w:ascii="Calibri" w:hAnsi="Calibri" w:eastAsia="맑은 고딕"/>
                <w:b w:val="0"/>
                <w:color w:val="333333"/>
                <w:sz w:val="20"/>
              </w:rPr>
              <w:t>eBay Korea</w:t>
            </w:r>
          </w:p>
        </w:tc>
      </w:tr>
      <w:tr>
        <w:tc>
          <w:tcPr>
            <w:tcW w:type="dxa" w:w="2351"/>
            <w:shd w:fill="F0F4FF" w:val="clear"/>
            <w:vAlign w:val="center"/>
          </w:tcPr>
          <w:p>
            <w:pPr>
              <w:spacing w:before="60" w:after="60"/>
              <w:jc w:val="center"/>
            </w:pPr>
            <w:r/>
            <w:r>
              <w:rPr>
                <w:rFonts w:ascii="Calibri" w:hAnsi="Calibri" w:eastAsia="맑은 고딕"/>
                <w:b w:val="0"/>
                <w:color w:val="333333"/>
                <w:sz w:val="20"/>
              </w:rPr>
              <w:t>2015</w:t>
            </w:r>
          </w:p>
        </w:tc>
        <w:tc>
          <w:tcPr>
            <w:tcW w:type="dxa" w:w="2351"/>
            <w:shd w:fill="F0F4FF" w:val="clear"/>
            <w:vAlign w:val="center"/>
          </w:tcPr>
          <w:p>
            <w:pPr>
              <w:spacing w:before="60" w:after="60"/>
            </w:pPr>
            <w:r/>
            <w:r>
              <w:rPr>
                <w:rFonts w:ascii="Calibri" w:hAnsi="Calibri" w:eastAsia="맑은 고딕"/>
                <w:b/>
                <w:color w:val="333333"/>
                <w:sz w:val="20"/>
              </w:rPr>
              <w:t>영업BU 최우수 직원상</w:t>
            </w:r>
          </w:p>
        </w:tc>
        <w:tc>
          <w:tcPr>
            <w:tcW w:type="dxa" w:w="2351"/>
            <w:shd w:fill="F0F4FF" w:val="clear"/>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2025.07</w:t>
            </w:r>
          </w:p>
        </w:tc>
        <w:tc>
          <w:tcPr>
            <w:tcW w:type="dxa" w:w="3135"/>
            <w:shd w:fill="F0F4FF" w:val="clear"/>
            <w:vAlign w:val="center"/>
          </w:tcPr>
          <w:p>
            <w:pPr>
              <w:spacing w:before="60" w:after="60"/>
            </w:pPr>
            <w:r/>
            <w:r>
              <w:rPr>
                <w:rFonts w:ascii="Calibri" w:hAnsi="Calibri" w:eastAsia="맑은 고딕"/>
                <w:b/>
                <w:color w:val="333333"/>
                <w:sz w:val="18"/>
              </w:rPr>
              <w:t>Tving 입사</w:t>
            </w:r>
          </w:p>
        </w:tc>
        <w:tc>
          <w:tcPr>
            <w:tcW w:type="dxa" w:w="3135"/>
            <w:shd w:fill="F0F4FF" w:val="clear"/>
            <w:vAlign w:val="center"/>
          </w:tcPr>
          <w:p>
            <w:pPr>
              <w:spacing w:before="60" w:after="60"/>
            </w:pPr>
            <w:r/>
            <w:r>
              <w:rPr>
                <w:rFonts w:ascii="Calibri" w:hAnsi="Calibri" w:eastAsia="맑은 고딕"/>
                <w:b w:val="0"/>
                <w:color w:val="555555"/>
                <w:sz w:val="18"/>
              </w:rPr>
              <w:t>Data Analyst Team 팀장</w:t>
            </w:r>
          </w:p>
        </w:tc>
      </w:tr>
      <w:tr>
        <w:tc>
          <w:tcPr>
            <w:tcW w:type="dxa" w:w="3135"/>
            <w:vAlign w:val="center"/>
          </w:tcPr>
          <w:p>
            <w:pPr>
              <w:spacing w:before="60" w:after="60"/>
              <w:jc w:val="center"/>
            </w:pPr>
            <w:r/>
            <w:r>
              <w:rPr>
                <w:rFonts w:ascii="Calibri" w:hAnsi="Calibri" w:eastAsia="맑은 고딕"/>
                <w:b/>
                <w:color w:val="2563EB"/>
                <w:sz w:val="18"/>
              </w:rPr>
              <w:t>현재</w:t>
            </w:r>
          </w:p>
        </w:tc>
        <w:tc>
          <w:tcPr>
            <w:tcW w:type="dxa" w:w="3135"/>
            <w:vAlign w:val="center"/>
          </w:tcPr>
          <w:p>
            <w:pPr>
              <w:spacing w:before="60" w:after="60"/>
            </w:pPr>
            <w:r/>
            <w:r>
              <w:rPr>
                <w:rFonts w:ascii="Calibri" w:hAnsi="Calibri" w:eastAsia="맑은 고딕"/>
                <w:b/>
                <w:color w:val="333333"/>
                <w:sz w:val="18"/>
              </w:rPr>
              <w:t>AI 분석 체계 구축 리딩</w:t>
            </w:r>
          </w:p>
        </w:tc>
        <w:tc>
          <w:tcPr>
            <w:tcW w:type="dxa" w:w="3135"/>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문제를 정의하고, 가설을 세우고, 실험으로 검증하며, 재사용 가능한 데이터 구조를 설계해 온 15년. 토스뱅크의 스쿼드에서 이 경험을 금융 서비스의 밀도 있는 성장에 연결하고 싶습니다. 데이터가 의사결정을 직접 견인하는 환경을 함께 만들겠습니다.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