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C783" w14:textId="77777777" w:rsidR="001A0601" w:rsidRPr="001A0601" w:rsidRDefault="001A0601" w:rsidP="001A0601">
      <w:pPr>
        <w:pStyle w:val="Heading3"/>
        <w:shd w:val="clear" w:color="auto" w:fill="FFFFFF"/>
        <w:spacing w:before="0" w:beforeAutospacing="0" w:after="300" w:afterAutospacing="0" w:line="450" w:lineRule="atLeast"/>
        <w:rPr>
          <w:rFonts w:ascii="Georgia" w:hAnsi="Georgia"/>
          <w:i/>
          <w:iCs/>
          <w:color w:val="383735"/>
          <w:sz w:val="28"/>
          <w:szCs w:val="28"/>
        </w:rPr>
      </w:pPr>
      <w:r w:rsidRPr="001A0601">
        <w:rPr>
          <w:rFonts w:ascii="Georgia" w:hAnsi="Georgia"/>
          <w:i/>
          <w:iCs/>
          <w:color w:val="383735"/>
          <w:sz w:val="28"/>
          <w:szCs w:val="28"/>
        </w:rPr>
        <w:t>CMT118: Malware Analysis and Vulnerability Assessment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151"/>
        <w:gridCol w:w="4382"/>
      </w:tblGrid>
      <w:tr w:rsidR="001A0601" w:rsidRPr="001A0601" w14:paraId="68B7BCAF"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6C0B39F"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School</w:t>
            </w:r>
          </w:p>
        </w:tc>
        <w:tc>
          <w:tcPr>
            <w:tcW w:w="0" w:type="auto"/>
            <w:tcBorders>
              <w:top w:val="single" w:sz="6" w:space="0" w:color="D3D3D2"/>
            </w:tcBorders>
            <w:shd w:val="clear" w:color="auto" w:fill="FFFFFF"/>
            <w:tcMar>
              <w:top w:w="120" w:type="dxa"/>
              <w:left w:w="120" w:type="dxa"/>
              <w:bottom w:w="120" w:type="dxa"/>
              <w:right w:w="120" w:type="dxa"/>
            </w:tcMar>
            <w:hideMark/>
          </w:tcPr>
          <w:p w14:paraId="09B7BC19"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Cardiff School of Computer Science and Informatics</w:t>
            </w:r>
          </w:p>
        </w:tc>
      </w:tr>
      <w:tr w:rsidR="001A0601" w:rsidRPr="001A0601" w14:paraId="600CD753"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BCE68DA"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Department Code</w:t>
            </w:r>
          </w:p>
        </w:tc>
        <w:tc>
          <w:tcPr>
            <w:tcW w:w="0" w:type="auto"/>
            <w:tcBorders>
              <w:top w:val="single" w:sz="6" w:space="0" w:color="D3D3D2"/>
            </w:tcBorders>
            <w:shd w:val="clear" w:color="auto" w:fill="FFFFFF"/>
            <w:tcMar>
              <w:top w:w="120" w:type="dxa"/>
              <w:left w:w="120" w:type="dxa"/>
              <w:bottom w:w="120" w:type="dxa"/>
              <w:right w:w="120" w:type="dxa"/>
            </w:tcMar>
            <w:hideMark/>
          </w:tcPr>
          <w:p w14:paraId="689966E2"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COMSC</w:t>
            </w:r>
          </w:p>
        </w:tc>
      </w:tr>
      <w:tr w:rsidR="001A0601" w:rsidRPr="001A0601" w14:paraId="1FDD105A"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7AD6238"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Module Code</w:t>
            </w:r>
          </w:p>
        </w:tc>
        <w:tc>
          <w:tcPr>
            <w:tcW w:w="0" w:type="auto"/>
            <w:tcBorders>
              <w:top w:val="single" w:sz="6" w:space="0" w:color="D3D3D2"/>
            </w:tcBorders>
            <w:shd w:val="clear" w:color="auto" w:fill="FFFFFF"/>
            <w:tcMar>
              <w:top w:w="120" w:type="dxa"/>
              <w:left w:w="120" w:type="dxa"/>
              <w:bottom w:w="120" w:type="dxa"/>
              <w:right w:w="120" w:type="dxa"/>
            </w:tcMar>
            <w:hideMark/>
          </w:tcPr>
          <w:p w14:paraId="019DDABC"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CMT118</w:t>
            </w:r>
          </w:p>
        </w:tc>
      </w:tr>
      <w:tr w:rsidR="001A0601" w:rsidRPr="001A0601" w14:paraId="5CA28CCD"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EC90D0E"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External Subject Code</w:t>
            </w:r>
          </w:p>
        </w:tc>
        <w:tc>
          <w:tcPr>
            <w:tcW w:w="0" w:type="auto"/>
            <w:tcBorders>
              <w:top w:val="single" w:sz="6" w:space="0" w:color="D3D3D2"/>
            </w:tcBorders>
            <w:shd w:val="clear" w:color="auto" w:fill="FFFFFF"/>
            <w:tcMar>
              <w:top w:w="120" w:type="dxa"/>
              <w:left w:w="120" w:type="dxa"/>
              <w:bottom w:w="120" w:type="dxa"/>
              <w:right w:w="120" w:type="dxa"/>
            </w:tcMar>
            <w:hideMark/>
          </w:tcPr>
          <w:p w14:paraId="0206DEEB"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100366</w:t>
            </w:r>
          </w:p>
        </w:tc>
      </w:tr>
      <w:tr w:rsidR="001A0601" w:rsidRPr="001A0601" w14:paraId="06B82531"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3006D7D"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Number of Credits</w:t>
            </w:r>
          </w:p>
        </w:tc>
        <w:tc>
          <w:tcPr>
            <w:tcW w:w="0" w:type="auto"/>
            <w:tcBorders>
              <w:top w:val="single" w:sz="6" w:space="0" w:color="D3D3D2"/>
            </w:tcBorders>
            <w:shd w:val="clear" w:color="auto" w:fill="FFFFFF"/>
            <w:tcMar>
              <w:top w:w="120" w:type="dxa"/>
              <w:left w:w="120" w:type="dxa"/>
              <w:bottom w:w="120" w:type="dxa"/>
              <w:right w:w="120" w:type="dxa"/>
            </w:tcMar>
            <w:hideMark/>
          </w:tcPr>
          <w:p w14:paraId="22753D29"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20</w:t>
            </w:r>
          </w:p>
        </w:tc>
      </w:tr>
      <w:tr w:rsidR="001A0601" w:rsidRPr="001A0601" w14:paraId="76A23B60"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1776D5D"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Level</w:t>
            </w:r>
          </w:p>
        </w:tc>
        <w:tc>
          <w:tcPr>
            <w:tcW w:w="0" w:type="auto"/>
            <w:tcBorders>
              <w:top w:val="single" w:sz="6" w:space="0" w:color="D3D3D2"/>
            </w:tcBorders>
            <w:shd w:val="clear" w:color="auto" w:fill="FFFFFF"/>
            <w:tcMar>
              <w:top w:w="120" w:type="dxa"/>
              <w:left w:w="120" w:type="dxa"/>
              <w:bottom w:w="120" w:type="dxa"/>
              <w:right w:w="120" w:type="dxa"/>
            </w:tcMar>
            <w:hideMark/>
          </w:tcPr>
          <w:p w14:paraId="3DAB7B33"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L7</w:t>
            </w:r>
          </w:p>
        </w:tc>
      </w:tr>
      <w:tr w:rsidR="001A0601" w:rsidRPr="001A0601" w14:paraId="1005043A"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8CCC8A3"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Language of Delivery</w:t>
            </w:r>
          </w:p>
        </w:tc>
        <w:tc>
          <w:tcPr>
            <w:tcW w:w="0" w:type="auto"/>
            <w:tcBorders>
              <w:top w:val="single" w:sz="6" w:space="0" w:color="D3D3D2"/>
            </w:tcBorders>
            <w:shd w:val="clear" w:color="auto" w:fill="FFFFFF"/>
            <w:tcMar>
              <w:top w:w="120" w:type="dxa"/>
              <w:left w:w="120" w:type="dxa"/>
              <w:bottom w:w="120" w:type="dxa"/>
              <w:right w:w="120" w:type="dxa"/>
            </w:tcMar>
            <w:hideMark/>
          </w:tcPr>
          <w:p w14:paraId="7339EB4E"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English</w:t>
            </w:r>
          </w:p>
        </w:tc>
      </w:tr>
      <w:tr w:rsidR="001A0601" w:rsidRPr="001A0601" w14:paraId="6F250AAD"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B7FE656"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Module Leader</w:t>
            </w:r>
          </w:p>
        </w:tc>
        <w:tc>
          <w:tcPr>
            <w:tcW w:w="0" w:type="auto"/>
            <w:tcBorders>
              <w:top w:val="single" w:sz="6" w:space="0" w:color="D3D3D2"/>
            </w:tcBorders>
            <w:shd w:val="clear" w:color="auto" w:fill="FFFFFF"/>
            <w:tcMar>
              <w:top w:w="120" w:type="dxa"/>
              <w:left w:w="120" w:type="dxa"/>
              <w:bottom w:w="120" w:type="dxa"/>
              <w:right w:w="120" w:type="dxa"/>
            </w:tcMar>
            <w:hideMark/>
          </w:tcPr>
          <w:p w14:paraId="64B42CBC"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 xml:space="preserve">Dr Georgios </w:t>
            </w:r>
            <w:proofErr w:type="spellStart"/>
            <w:r w:rsidRPr="001A0601">
              <w:rPr>
                <w:rFonts w:ascii="Arial" w:hAnsi="Arial" w:cs="Arial"/>
                <w:sz w:val="18"/>
                <w:szCs w:val="18"/>
              </w:rPr>
              <w:t>Theodorakopoulos</w:t>
            </w:r>
            <w:proofErr w:type="spellEnd"/>
          </w:p>
        </w:tc>
      </w:tr>
      <w:tr w:rsidR="001A0601" w:rsidRPr="001A0601" w14:paraId="4A665579"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B177BA4"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Semester</w:t>
            </w:r>
          </w:p>
        </w:tc>
        <w:tc>
          <w:tcPr>
            <w:tcW w:w="0" w:type="auto"/>
            <w:tcBorders>
              <w:top w:val="single" w:sz="6" w:space="0" w:color="D3D3D2"/>
            </w:tcBorders>
            <w:shd w:val="clear" w:color="auto" w:fill="FFFFFF"/>
            <w:tcMar>
              <w:top w:w="120" w:type="dxa"/>
              <w:left w:w="120" w:type="dxa"/>
              <w:bottom w:w="120" w:type="dxa"/>
              <w:right w:w="120" w:type="dxa"/>
            </w:tcMar>
            <w:hideMark/>
          </w:tcPr>
          <w:p w14:paraId="4EEF38E4"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Autumn Semester</w:t>
            </w:r>
          </w:p>
        </w:tc>
      </w:tr>
      <w:tr w:rsidR="001A0601" w:rsidRPr="001A0601" w14:paraId="6AE58F79" w14:textId="77777777" w:rsidTr="001A0601">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52E9EA35" w14:textId="77777777" w:rsidR="001A0601" w:rsidRPr="001A0601" w:rsidRDefault="001A0601">
            <w:pPr>
              <w:spacing w:after="300" w:line="300" w:lineRule="atLeast"/>
              <w:rPr>
                <w:rFonts w:ascii="Arial" w:hAnsi="Arial" w:cs="Arial"/>
                <w:sz w:val="18"/>
                <w:szCs w:val="18"/>
              </w:rPr>
            </w:pPr>
            <w:r w:rsidRPr="001A0601">
              <w:rPr>
                <w:rStyle w:val="Strong"/>
                <w:rFonts w:ascii="Arial" w:hAnsi="Arial" w:cs="Arial"/>
                <w:sz w:val="18"/>
                <w:szCs w:val="18"/>
              </w:rPr>
              <w:t>Academic Year</w:t>
            </w:r>
          </w:p>
        </w:tc>
        <w:tc>
          <w:tcPr>
            <w:tcW w:w="0" w:type="auto"/>
            <w:tcBorders>
              <w:top w:val="single" w:sz="6" w:space="0" w:color="D3D3D2"/>
            </w:tcBorders>
            <w:shd w:val="clear" w:color="auto" w:fill="FFFFFF"/>
            <w:tcMar>
              <w:top w:w="120" w:type="dxa"/>
              <w:left w:w="120" w:type="dxa"/>
              <w:bottom w:w="120" w:type="dxa"/>
              <w:right w:w="120" w:type="dxa"/>
            </w:tcMar>
            <w:hideMark/>
          </w:tcPr>
          <w:p w14:paraId="72CAD8A1"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2019/0</w:t>
            </w:r>
          </w:p>
        </w:tc>
      </w:tr>
    </w:tbl>
    <w:p w14:paraId="03BDFFE2"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Outline Description of Module</w:t>
      </w:r>
    </w:p>
    <w:p w14:paraId="2B0E3C5F"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This module aims to provide students with the necessary skills to perform vulnerability assessments at system and network level. We focus on tools and techniques for penetration testing, static and dynamic malware analysis, and social engineering. Specific contexts include network intrusions, web security, and malware spreading.</w:t>
      </w:r>
    </w:p>
    <w:p w14:paraId="5C2ED5FC"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On completion of the module a student should be able to</w:t>
      </w:r>
    </w:p>
    <w:p w14:paraId="0BD41DB6"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Perform static and dynamic malware analysis to explain the malware’s anatomy, its effects on a system and its spreading behaviour.</w:t>
      </w:r>
    </w:p>
    <w:p w14:paraId="63847794"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Identify, evaluate and recommend, with justification, a selection of configurations and countermeasures to reduce the likelihood and impact of potential security attacks.</w:t>
      </w:r>
    </w:p>
    <w:p w14:paraId="6BEC45E6"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lastRenderedPageBreak/>
        <w:t>Perform application penetration testing to identify system and network security vulnerabilities and exploit them.</w:t>
      </w:r>
    </w:p>
    <w:p w14:paraId="6242804A"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Explain how to detect and react to network intrusions.</w:t>
      </w:r>
    </w:p>
    <w:p w14:paraId="2C407AEA"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Explain how web browsers are used to exploit vulnerabilities and inject malicious code into web services (e.g. cross-site scripting).</w:t>
      </w:r>
    </w:p>
    <w:p w14:paraId="40B8294A" w14:textId="77777777" w:rsidR="001A0601" w:rsidRPr="001A0601" w:rsidRDefault="001A0601" w:rsidP="001A0601">
      <w:pPr>
        <w:pStyle w:val="NormalWeb"/>
        <w:numPr>
          <w:ilvl w:val="0"/>
          <w:numId w:val="1"/>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Recognize and defend against social engineering attacks.</w:t>
      </w:r>
    </w:p>
    <w:p w14:paraId="7414E441"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How the module will be delivered</w:t>
      </w:r>
    </w:p>
    <w:p w14:paraId="608592CA"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The module employs a combination of theoretical and practical interactive contact sessions, using a study guide, a selection of papers and case studies. It is anticipated that external speakers will also be invited to give the occasional lecture to the students.</w:t>
      </w:r>
    </w:p>
    <w:p w14:paraId="7F5D2EEA"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Skills that will be practised and developed</w:t>
      </w:r>
    </w:p>
    <w:p w14:paraId="34DDB78D"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Critical evaluation of the claims from proponents of new technologies and methodologies,</w:t>
      </w:r>
      <w:r w:rsidRPr="001A0601">
        <w:rPr>
          <w:rFonts w:ascii="Arial" w:hAnsi="Arial" w:cs="Arial"/>
          <w:color w:val="383735"/>
          <w:sz w:val="18"/>
          <w:szCs w:val="18"/>
        </w:rPr>
        <w:br/>
        <w:t>product vendors, researchers and consultants.</w:t>
      </w:r>
    </w:p>
    <w:p w14:paraId="38D76F78"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Research skills in quantitative and qualitative methods.</w:t>
      </w:r>
    </w:p>
    <w:p w14:paraId="3BDC20DE"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Report writing, including writing academic and technical reports, which target different audiences.</w:t>
      </w:r>
    </w:p>
    <w:p w14:paraId="06E5A910"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Innovation and critical thinking.</w:t>
      </w:r>
    </w:p>
    <w:p w14:paraId="33937812"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Rhetoric and argumentation.</w:t>
      </w:r>
    </w:p>
    <w:p w14:paraId="3B72194A"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Time management.</w:t>
      </w:r>
    </w:p>
    <w:p w14:paraId="2341020D"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Reflective practice: the ability to reflect on performance, as a means of instilling the habit of lifelong learning.</w:t>
      </w:r>
    </w:p>
    <w:p w14:paraId="0FF88238"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How the module will be assessed</w:t>
      </w:r>
    </w:p>
    <w:p w14:paraId="4BA85B7C"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The module will be assessed with one Coursework (weight: 30%) and one Examination (weight: 70%).</w:t>
      </w:r>
    </w:p>
    <w:p w14:paraId="14CA8648"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The Coursework will require students to dissect a piece of malicious code and ascertain its structure, behaviour, and purpose. Following this analysis, students will recommend potential countermeasures to the malicious code and evaluate them with respect to their effectiveness in reducing the impact of this piece of malware. In parallel, students will identify security vulnerabilities in a provided application using penetration testing techniques. The deliverable of this Coursework will be a written report that details and justifies the process that students followed and the findings that arose. The Coursework will assess Learning Outcomes LO1, LO2, LO3.</w:t>
      </w:r>
    </w:p>
    <w:p w14:paraId="388E30A7"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The Examination will be paper-based, and it will cover a broad range of topics addressed in the module on network security (with an emphasis on network intrusions and how to defend against them), web security (with an emphasis on attacks against web browsers), and social engineering attacks and defences. Students will be required to explain and apply these concepts and techniques in various security scenarios. The examination will assess Learning Outcomes LO2, LO4, LO5, LO6.</w:t>
      </w:r>
    </w:p>
    <w:p w14:paraId="41ED4EDC"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Students will be provided with reassessment opportunities in line with University regulations.</w:t>
      </w:r>
    </w:p>
    <w:p w14:paraId="47F71FBE"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lastRenderedPageBreak/>
        <w:t>Assessment Breakdown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32"/>
        <w:gridCol w:w="441"/>
        <w:gridCol w:w="4212"/>
        <w:gridCol w:w="1380"/>
      </w:tblGrid>
      <w:tr w:rsidR="001A0601" w:rsidRPr="001A0601" w14:paraId="21B7D554" w14:textId="77777777" w:rsidTr="001A0601">
        <w:trPr>
          <w:tblHeader/>
        </w:trPr>
        <w:tc>
          <w:tcPr>
            <w:tcW w:w="0" w:type="auto"/>
            <w:tcBorders>
              <w:top w:val="nil"/>
            </w:tcBorders>
            <w:shd w:val="clear" w:color="auto" w:fill="FFFFFF"/>
            <w:tcMar>
              <w:top w:w="120" w:type="dxa"/>
              <w:left w:w="120" w:type="dxa"/>
              <w:bottom w:w="120" w:type="dxa"/>
              <w:right w:w="120" w:type="dxa"/>
            </w:tcMar>
            <w:vAlign w:val="bottom"/>
            <w:hideMark/>
          </w:tcPr>
          <w:p w14:paraId="6E89A359" w14:textId="77777777" w:rsidR="001A0601" w:rsidRPr="001A0601" w:rsidRDefault="001A0601">
            <w:pPr>
              <w:spacing w:after="300"/>
              <w:rPr>
                <w:rFonts w:ascii="Arial" w:hAnsi="Arial" w:cs="Arial"/>
                <w:b/>
                <w:bCs/>
                <w:sz w:val="18"/>
                <w:szCs w:val="18"/>
              </w:rPr>
            </w:pPr>
            <w:r w:rsidRPr="001A0601">
              <w:rPr>
                <w:rFonts w:ascii="Arial" w:hAnsi="Arial" w:cs="Arial"/>
                <w:b/>
                <w:bCs/>
                <w:sz w:val="18"/>
                <w:szCs w:val="18"/>
              </w:rPr>
              <w:t>Type</w:t>
            </w:r>
          </w:p>
        </w:tc>
        <w:tc>
          <w:tcPr>
            <w:tcW w:w="0" w:type="auto"/>
            <w:tcBorders>
              <w:top w:val="nil"/>
            </w:tcBorders>
            <w:shd w:val="clear" w:color="auto" w:fill="FFFFFF"/>
            <w:tcMar>
              <w:top w:w="120" w:type="dxa"/>
              <w:left w:w="120" w:type="dxa"/>
              <w:bottom w:w="120" w:type="dxa"/>
              <w:right w:w="120" w:type="dxa"/>
            </w:tcMar>
            <w:vAlign w:val="bottom"/>
            <w:hideMark/>
          </w:tcPr>
          <w:p w14:paraId="314C79AE" w14:textId="77777777" w:rsidR="001A0601" w:rsidRPr="001A0601" w:rsidRDefault="001A0601">
            <w:pPr>
              <w:spacing w:after="300"/>
              <w:rPr>
                <w:rFonts w:ascii="Arial" w:hAnsi="Arial" w:cs="Arial"/>
                <w:b/>
                <w:bCs/>
                <w:sz w:val="18"/>
                <w:szCs w:val="18"/>
              </w:rPr>
            </w:pPr>
            <w:r w:rsidRPr="001A0601">
              <w:rPr>
                <w:rFonts w:ascii="Arial" w:hAnsi="Arial" w:cs="Arial"/>
                <w:b/>
                <w:bCs/>
                <w:sz w:val="18"/>
                <w:szCs w:val="18"/>
              </w:rPr>
              <w:t>%</w:t>
            </w:r>
          </w:p>
        </w:tc>
        <w:tc>
          <w:tcPr>
            <w:tcW w:w="0" w:type="auto"/>
            <w:tcBorders>
              <w:top w:val="nil"/>
            </w:tcBorders>
            <w:shd w:val="clear" w:color="auto" w:fill="FFFFFF"/>
            <w:tcMar>
              <w:top w:w="120" w:type="dxa"/>
              <w:left w:w="120" w:type="dxa"/>
              <w:bottom w:w="120" w:type="dxa"/>
              <w:right w:w="120" w:type="dxa"/>
            </w:tcMar>
            <w:vAlign w:val="bottom"/>
            <w:hideMark/>
          </w:tcPr>
          <w:p w14:paraId="5DE4D4DC" w14:textId="77777777" w:rsidR="001A0601" w:rsidRPr="001A0601" w:rsidRDefault="001A0601">
            <w:pPr>
              <w:spacing w:after="300"/>
              <w:rPr>
                <w:rFonts w:ascii="Arial" w:hAnsi="Arial" w:cs="Arial"/>
                <w:b/>
                <w:bCs/>
                <w:sz w:val="18"/>
                <w:szCs w:val="18"/>
              </w:rPr>
            </w:pPr>
            <w:r w:rsidRPr="001A0601">
              <w:rPr>
                <w:rFonts w:ascii="Arial" w:hAnsi="Arial" w:cs="Arial"/>
                <w:b/>
                <w:bCs/>
                <w:sz w:val="18"/>
                <w:szCs w:val="18"/>
              </w:rPr>
              <w:t>Title</w:t>
            </w:r>
          </w:p>
        </w:tc>
        <w:tc>
          <w:tcPr>
            <w:tcW w:w="0" w:type="auto"/>
            <w:tcBorders>
              <w:top w:val="nil"/>
            </w:tcBorders>
            <w:shd w:val="clear" w:color="auto" w:fill="FFFFFF"/>
            <w:tcMar>
              <w:top w:w="120" w:type="dxa"/>
              <w:left w:w="120" w:type="dxa"/>
              <w:bottom w:w="120" w:type="dxa"/>
              <w:right w:w="120" w:type="dxa"/>
            </w:tcMar>
            <w:vAlign w:val="bottom"/>
            <w:hideMark/>
          </w:tcPr>
          <w:p w14:paraId="2EC6F528" w14:textId="77777777" w:rsidR="001A0601" w:rsidRPr="001A0601" w:rsidRDefault="001A0601">
            <w:pPr>
              <w:spacing w:after="300"/>
              <w:rPr>
                <w:rFonts w:ascii="Arial" w:hAnsi="Arial" w:cs="Arial"/>
                <w:b/>
                <w:bCs/>
                <w:sz w:val="18"/>
                <w:szCs w:val="18"/>
              </w:rPr>
            </w:pPr>
            <w:r w:rsidRPr="001A0601">
              <w:rPr>
                <w:rFonts w:ascii="Arial" w:hAnsi="Arial" w:cs="Arial"/>
                <w:b/>
                <w:bCs/>
                <w:sz w:val="18"/>
                <w:szCs w:val="18"/>
              </w:rPr>
              <w:t>Duration(hrs)</w:t>
            </w:r>
          </w:p>
        </w:tc>
      </w:tr>
      <w:tr w:rsidR="001A0601" w:rsidRPr="001A0601" w14:paraId="3031D902" w14:textId="77777777" w:rsidTr="001A0601">
        <w:tc>
          <w:tcPr>
            <w:tcW w:w="0" w:type="auto"/>
            <w:tcBorders>
              <w:top w:val="single" w:sz="6" w:space="0" w:color="D3D3D2"/>
            </w:tcBorders>
            <w:shd w:val="clear" w:color="auto" w:fill="FFFFFF"/>
            <w:tcMar>
              <w:top w:w="120" w:type="dxa"/>
              <w:left w:w="120" w:type="dxa"/>
              <w:bottom w:w="120" w:type="dxa"/>
              <w:right w:w="120" w:type="dxa"/>
            </w:tcMar>
            <w:hideMark/>
          </w:tcPr>
          <w:p w14:paraId="247FAA2B"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Examination - Autumn Semester</w:t>
            </w:r>
          </w:p>
        </w:tc>
        <w:tc>
          <w:tcPr>
            <w:tcW w:w="0" w:type="auto"/>
            <w:tcBorders>
              <w:top w:val="single" w:sz="6" w:space="0" w:color="D3D3D2"/>
            </w:tcBorders>
            <w:shd w:val="clear" w:color="auto" w:fill="FFFFFF"/>
            <w:tcMar>
              <w:top w:w="120" w:type="dxa"/>
              <w:left w:w="120" w:type="dxa"/>
              <w:bottom w:w="120" w:type="dxa"/>
              <w:right w:w="120" w:type="dxa"/>
            </w:tcMar>
            <w:hideMark/>
          </w:tcPr>
          <w:p w14:paraId="50B0055E"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70</w:t>
            </w:r>
          </w:p>
        </w:tc>
        <w:tc>
          <w:tcPr>
            <w:tcW w:w="0" w:type="auto"/>
            <w:tcBorders>
              <w:top w:val="single" w:sz="6" w:space="0" w:color="D3D3D2"/>
            </w:tcBorders>
            <w:shd w:val="clear" w:color="auto" w:fill="FFFFFF"/>
            <w:tcMar>
              <w:top w:w="120" w:type="dxa"/>
              <w:left w:w="120" w:type="dxa"/>
              <w:bottom w:w="120" w:type="dxa"/>
              <w:right w:w="120" w:type="dxa"/>
            </w:tcMar>
            <w:hideMark/>
          </w:tcPr>
          <w:p w14:paraId="0BCAC782"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 xml:space="preserve">Malware Analysis </w:t>
            </w:r>
            <w:proofErr w:type="gramStart"/>
            <w:r w:rsidRPr="001A0601">
              <w:rPr>
                <w:rFonts w:ascii="Arial" w:hAnsi="Arial" w:cs="Arial"/>
                <w:sz w:val="18"/>
                <w:szCs w:val="18"/>
              </w:rPr>
              <w:t>And</w:t>
            </w:r>
            <w:proofErr w:type="gramEnd"/>
            <w:r w:rsidRPr="001A0601">
              <w:rPr>
                <w:rFonts w:ascii="Arial" w:hAnsi="Arial" w:cs="Arial"/>
                <w:sz w:val="18"/>
                <w:szCs w:val="18"/>
              </w:rPr>
              <w:t xml:space="preserve"> Vulnerability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7D549054"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2</w:t>
            </w:r>
          </w:p>
        </w:tc>
      </w:tr>
      <w:tr w:rsidR="001A0601" w:rsidRPr="001A0601" w14:paraId="68F6B957" w14:textId="77777777" w:rsidTr="001A0601">
        <w:tc>
          <w:tcPr>
            <w:tcW w:w="0" w:type="auto"/>
            <w:tcBorders>
              <w:top w:val="single" w:sz="6" w:space="0" w:color="D3D3D2"/>
            </w:tcBorders>
            <w:shd w:val="clear" w:color="auto" w:fill="FFFFFF"/>
            <w:tcMar>
              <w:top w:w="120" w:type="dxa"/>
              <w:left w:w="120" w:type="dxa"/>
              <w:bottom w:w="120" w:type="dxa"/>
              <w:right w:w="120" w:type="dxa"/>
            </w:tcMar>
            <w:hideMark/>
          </w:tcPr>
          <w:p w14:paraId="035EEA30"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Written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6B4AD959"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30</w:t>
            </w:r>
          </w:p>
        </w:tc>
        <w:tc>
          <w:tcPr>
            <w:tcW w:w="0" w:type="auto"/>
            <w:tcBorders>
              <w:top w:val="single" w:sz="6" w:space="0" w:color="D3D3D2"/>
            </w:tcBorders>
            <w:shd w:val="clear" w:color="auto" w:fill="FFFFFF"/>
            <w:tcMar>
              <w:top w:w="120" w:type="dxa"/>
              <w:left w:w="120" w:type="dxa"/>
              <w:bottom w:w="120" w:type="dxa"/>
              <w:right w:w="120" w:type="dxa"/>
            </w:tcMar>
            <w:hideMark/>
          </w:tcPr>
          <w:p w14:paraId="31812817" w14:textId="596FCAC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 xml:space="preserve">Malware Analysis </w:t>
            </w:r>
            <w:proofErr w:type="gramStart"/>
            <w:r w:rsidRPr="001A0601">
              <w:rPr>
                <w:rFonts w:ascii="Arial" w:hAnsi="Arial" w:cs="Arial"/>
                <w:sz w:val="18"/>
                <w:szCs w:val="18"/>
              </w:rPr>
              <w:t>And</w:t>
            </w:r>
            <w:proofErr w:type="gramEnd"/>
            <w:r w:rsidRPr="001A0601">
              <w:rPr>
                <w:rFonts w:ascii="Arial" w:hAnsi="Arial" w:cs="Arial"/>
                <w:sz w:val="18"/>
                <w:szCs w:val="18"/>
              </w:rPr>
              <w:t xml:space="preserve"> </w:t>
            </w:r>
            <w:r w:rsidRPr="001A0601">
              <w:rPr>
                <w:rFonts w:ascii="Arial" w:hAnsi="Arial" w:cs="Arial"/>
                <w:sz w:val="18"/>
                <w:szCs w:val="18"/>
              </w:rPr>
              <w:t>Vulnerabilities</w:t>
            </w:r>
            <w:r w:rsidRPr="001A0601">
              <w:rPr>
                <w:rFonts w:ascii="Arial" w:hAnsi="Arial" w:cs="Arial"/>
                <w:sz w:val="18"/>
                <w:szCs w:val="18"/>
              </w:rPr>
              <w:t xml:space="preserve">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42EBBE77" w14:textId="77777777" w:rsidR="001A0601" w:rsidRPr="001A0601" w:rsidRDefault="001A0601">
            <w:pPr>
              <w:spacing w:after="300" w:line="300" w:lineRule="atLeast"/>
              <w:rPr>
                <w:rFonts w:ascii="Arial" w:hAnsi="Arial" w:cs="Arial"/>
                <w:sz w:val="18"/>
                <w:szCs w:val="18"/>
              </w:rPr>
            </w:pPr>
            <w:r w:rsidRPr="001A0601">
              <w:rPr>
                <w:rFonts w:ascii="Arial" w:hAnsi="Arial" w:cs="Arial"/>
                <w:sz w:val="18"/>
                <w:szCs w:val="18"/>
              </w:rPr>
              <w:t>N/A</w:t>
            </w:r>
          </w:p>
        </w:tc>
      </w:tr>
    </w:tbl>
    <w:p w14:paraId="5C311DD7"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Syllabus content</w:t>
      </w:r>
      <w:bookmarkStart w:id="0" w:name="_GoBack"/>
      <w:bookmarkEnd w:id="0"/>
    </w:p>
    <w:p w14:paraId="635295C6"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Introduction to Information Security.</w:t>
      </w:r>
    </w:p>
    <w:p w14:paraId="7248B082"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Malicious Software and Viruses</w:t>
      </w:r>
    </w:p>
    <w:p w14:paraId="69A8546C"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Static analysis of malware anatomy</w:t>
      </w:r>
    </w:p>
    <w:p w14:paraId="79BBB455"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Dynamic analysis of malware spreading behaviour</w:t>
      </w:r>
    </w:p>
    <w:p w14:paraId="31021FCF"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System penetration testing – legality, rules of engagement and reporting</w:t>
      </w:r>
    </w:p>
    <w:p w14:paraId="398B16A6"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Network penetration testing - sniffing, scanning, botnets, DDoS</w:t>
      </w:r>
    </w:p>
    <w:p w14:paraId="27F0BEF7"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Computer/Application penetration testing - buffer overflow, SQL injection, XSS attacks</w:t>
      </w:r>
    </w:p>
    <w:p w14:paraId="59DAC958"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Social Engineering</w:t>
      </w:r>
    </w:p>
    <w:p w14:paraId="396B16FA"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t>Essential Reading and Resource List</w:t>
      </w:r>
    </w:p>
    <w:p w14:paraId="5C5D3EC6"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This is a dynamic area, not effectively covered just with textbooks. Therefore, in addition to background reading below, in order to provide most relevant and up-to-date material, required, recommended and further reading will be made available as a set of web resources. Students will be encouraged to add their own. The reading material will be tagged around the following main categories:</w:t>
      </w:r>
    </w:p>
    <w:p w14:paraId="003E167D" w14:textId="77777777" w:rsidR="001A0601" w:rsidRPr="001A0601" w:rsidRDefault="001A0601" w:rsidP="001A0601">
      <w:pPr>
        <w:pStyle w:val="NormalWeb"/>
        <w:numPr>
          <w:ilvl w:val="0"/>
          <w:numId w:val="2"/>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Malware analysis</w:t>
      </w:r>
    </w:p>
    <w:p w14:paraId="68F163BE" w14:textId="77777777" w:rsidR="001A0601" w:rsidRPr="001A0601" w:rsidRDefault="001A0601" w:rsidP="001A0601">
      <w:pPr>
        <w:pStyle w:val="NormalWeb"/>
        <w:numPr>
          <w:ilvl w:val="0"/>
          <w:numId w:val="2"/>
        </w:numPr>
        <w:shd w:val="clear" w:color="auto" w:fill="FFFFFF"/>
        <w:spacing w:before="0" w:beforeAutospacing="0" w:after="300" w:afterAutospacing="0" w:line="300" w:lineRule="atLeast"/>
        <w:ind w:left="375"/>
        <w:rPr>
          <w:rFonts w:ascii="Arial" w:hAnsi="Arial" w:cs="Arial"/>
          <w:color w:val="383735"/>
          <w:sz w:val="18"/>
          <w:szCs w:val="18"/>
        </w:rPr>
      </w:pPr>
      <w:proofErr w:type="spellStart"/>
      <w:r w:rsidRPr="001A0601">
        <w:rPr>
          <w:rFonts w:ascii="Arial" w:hAnsi="Arial" w:cs="Arial"/>
          <w:color w:val="383735"/>
          <w:sz w:val="18"/>
          <w:szCs w:val="18"/>
        </w:rPr>
        <w:t>Pentesting</w:t>
      </w:r>
      <w:proofErr w:type="spellEnd"/>
      <w:r w:rsidRPr="001A0601">
        <w:rPr>
          <w:rFonts w:ascii="Arial" w:hAnsi="Arial" w:cs="Arial"/>
          <w:color w:val="383735"/>
          <w:sz w:val="18"/>
          <w:szCs w:val="18"/>
        </w:rPr>
        <w:t xml:space="preserve"> – network</w:t>
      </w:r>
    </w:p>
    <w:p w14:paraId="0F8C61EB" w14:textId="77777777" w:rsidR="001A0601" w:rsidRPr="001A0601" w:rsidRDefault="001A0601" w:rsidP="001A0601">
      <w:pPr>
        <w:pStyle w:val="NormalWeb"/>
        <w:numPr>
          <w:ilvl w:val="0"/>
          <w:numId w:val="2"/>
        </w:numPr>
        <w:shd w:val="clear" w:color="auto" w:fill="FFFFFF"/>
        <w:spacing w:before="0" w:beforeAutospacing="0" w:after="300" w:afterAutospacing="0" w:line="300" w:lineRule="atLeast"/>
        <w:ind w:left="375"/>
        <w:rPr>
          <w:rFonts w:ascii="Arial" w:hAnsi="Arial" w:cs="Arial"/>
          <w:color w:val="383735"/>
          <w:sz w:val="18"/>
          <w:szCs w:val="18"/>
        </w:rPr>
      </w:pPr>
      <w:proofErr w:type="spellStart"/>
      <w:r w:rsidRPr="001A0601">
        <w:rPr>
          <w:rFonts w:ascii="Arial" w:hAnsi="Arial" w:cs="Arial"/>
          <w:color w:val="383735"/>
          <w:sz w:val="18"/>
          <w:szCs w:val="18"/>
        </w:rPr>
        <w:t>Pentesting</w:t>
      </w:r>
      <w:proofErr w:type="spellEnd"/>
      <w:r w:rsidRPr="001A0601">
        <w:rPr>
          <w:rFonts w:ascii="Arial" w:hAnsi="Arial" w:cs="Arial"/>
          <w:color w:val="383735"/>
          <w:sz w:val="18"/>
          <w:szCs w:val="18"/>
        </w:rPr>
        <w:t xml:space="preserve"> – system</w:t>
      </w:r>
    </w:p>
    <w:p w14:paraId="179539D5" w14:textId="77777777" w:rsidR="001A0601" w:rsidRPr="001A0601" w:rsidRDefault="001A0601" w:rsidP="001A0601">
      <w:pPr>
        <w:pStyle w:val="NormalWeb"/>
        <w:numPr>
          <w:ilvl w:val="0"/>
          <w:numId w:val="2"/>
        </w:numPr>
        <w:shd w:val="clear" w:color="auto" w:fill="FFFFFF"/>
        <w:spacing w:before="0" w:beforeAutospacing="0" w:after="300" w:afterAutospacing="0" w:line="300" w:lineRule="atLeast"/>
        <w:ind w:left="375"/>
        <w:rPr>
          <w:rFonts w:ascii="Arial" w:hAnsi="Arial" w:cs="Arial"/>
          <w:color w:val="383735"/>
          <w:sz w:val="18"/>
          <w:szCs w:val="18"/>
        </w:rPr>
      </w:pPr>
      <w:r w:rsidRPr="001A0601">
        <w:rPr>
          <w:rFonts w:ascii="Arial" w:hAnsi="Arial" w:cs="Arial"/>
          <w:color w:val="383735"/>
          <w:sz w:val="18"/>
          <w:szCs w:val="18"/>
        </w:rPr>
        <w:t>Kevin Mitnick (Social Engineering)</w:t>
      </w:r>
    </w:p>
    <w:p w14:paraId="52D86277"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br/>
        <w:t>In addition, students will be expected to widely research contemporary issues as reflected in appropriate publications.</w:t>
      </w:r>
    </w:p>
    <w:p w14:paraId="52465103" w14:textId="77777777" w:rsidR="001A0601" w:rsidRPr="001A0601" w:rsidRDefault="001A0601" w:rsidP="001A0601">
      <w:pPr>
        <w:pStyle w:val="Heading4"/>
        <w:shd w:val="clear" w:color="auto" w:fill="FFFFFF"/>
        <w:spacing w:before="0" w:after="300" w:line="450" w:lineRule="atLeast"/>
        <w:rPr>
          <w:rFonts w:ascii="Arial" w:hAnsi="Arial" w:cs="Arial"/>
          <w:color w:val="383735"/>
          <w:sz w:val="28"/>
          <w:szCs w:val="28"/>
        </w:rPr>
      </w:pPr>
      <w:r w:rsidRPr="001A0601">
        <w:rPr>
          <w:rFonts w:ascii="Arial" w:hAnsi="Arial" w:cs="Arial"/>
          <w:color w:val="383735"/>
          <w:sz w:val="28"/>
          <w:szCs w:val="28"/>
        </w:rPr>
        <w:lastRenderedPageBreak/>
        <w:t>Background Reading and Resource List</w:t>
      </w:r>
    </w:p>
    <w:p w14:paraId="6E9EBB80"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1) Penetration Testing: A Hands-On Introduction to Hacking</w:t>
      </w:r>
    </w:p>
    <w:p w14:paraId="5A8C0E6A"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By Georgia Weidman</w:t>
      </w:r>
    </w:p>
    <w:p w14:paraId="4A11EE85"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No Starch Press</w:t>
      </w:r>
    </w:p>
    <w:p w14:paraId="2CF84161"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June 2014, 528 pp.</w:t>
      </w:r>
    </w:p>
    <w:p w14:paraId="4AF0F0A4"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ISBN-13:</w:t>
      </w:r>
    </w:p>
    <w:p w14:paraId="184CAB95"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9781593275648</w:t>
      </w:r>
    </w:p>
    <w:p w14:paraId="505F2B1A"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Style w:val="Strong"/>
          <w:rFonts w:ascii="Arial" w:eastAsiaTheme="majorEastAsia" w:hAnsi="Arial" w:cs="Arial"/>
          <w:color w:val="383735"/>
          <w:sz w:val="18"/>
          <w:szCs w:val="18"/>
        </w:rPr>
        <w:t>2) Practical Malware Analysis: The Hands-On Guide to Dissecting Malicious Software</w:t>
      </w:r>
      <w:r w:rsidRPr="001A0601">
        <w:rPr>
          <w:rFonts w:ascii="Arial" w:hAnsi="Arial" w:cs="Arial"/>
          <w:color w:val="383735"/>
          <w:sz w:val="18"/>
          <w:szCs w:val="18"/>
        </w:rPr>
        <w:br/>
        <w:t>by Michael Sikorski and Andrew Honig</w:t>
      </w:r>
    </w:p>
    <w:p w14:paraId="6E055238"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No Starch Press</w:t>
      </w:r>
    </w:p>
    <w:p w14:paraId="5D301D03"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February 2012, 800 pp.</w:t>
      </w:r>
    </w:p>
    <w:p w14:paraId="19D5E0DF"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ISBN-13:</w:t>
      </w:r>
    </w:p>
    <w:p w14:paraId="3D208A40"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9781593272906</w:t>
      </w:r>
    </w:p>
    <w:p w14:paraId="24649EC8"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3) The Art of Deception: Controlling the Human Element of Security</w:t>
      </w:r>
    </w:p>
    <w:p w14:paraId="432C16DA"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Mitnick, Kevin D., and William L. Simon.</w:t>
      </w:r>
    </w:p>
    <w:p w14:paraId="0D758BE1" w14:textId="77777777" w:rsidR="001A0601" w:rsidRPr="001A0601" w:rsidRDefault="001A0601" w:rsidP="001A0601">
      <w:pPr>
        <w:pStyle w:val="NormalWeb"/>
        <w:shd w:val="clear" w:color="auto" w:fill="FFFFFF"/>
        <w:spacing w:before="0" w:beforeAutospacing="0" w:after="300" w:afterAutospacing="0"/>
        <w:rPr>
          <w:rFonts w:ascii="Arial" w:hAnsi="Arial" w:cs="Arial"/>
          <w:color w:val="383735"/>
          <w:sz w:val="18"/>
          <w:szCs w:val="18"/>
        </w:rPr>
      </w:pPr>
      <w:r w:rsidRPr="001A0601">
        <w:rPr>
          <w:rFonts w:ascii="Arial" w:hAnsi="Arial" w:cs="Arial"/>
          <w:color w:val="383735"/>
          <w:sz w:val="18"/>
          <w:szCs w:val="18"/>
        </w:rPr>
        <w:t>John Wiley &amp; Sons, 2011.</w:t>
      </w:r>
    </w:p>
    <w:p w14:paraId="14DD54C4" w14:textId="77777777" w:rsidR="00FF1601" w:rsidRPr="001A0601" w:rsidRDefault="00FF1601" w:rsidP="001A0601">
      <w:pPr>
        <w:rPr>
          <w:sz w:val="18"/>
          <w:szCs w:val="18"/>
        </w:rPr>
      </w:pPr>
    </w:p>
    <w:sectPr w:rsidR="00FF1601" w:rsidRPr="001A0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E07"/>
    <w:multiLevelType w:val="multilevel"/>
    <w:tmpl w:val="33C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36B4"/>
    <w:multiLevelType w:val="multilevel"/>
    <w:tmpl w:val="B08A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1"/>
    <w:rsid w:val="001A0601"/>
    <w:rsid w:val="00FF1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B3C1"/>
  <w15:chartTrackingRefBased/>
  <w15:docId w15:val="{B1D81070-BBF3-4FB0-A15B-37339AF0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A06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A06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60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A0601"/>
    <w:rPr>
      <w:b/>
      <w:bCs/>
    </w:rPr>
  </w:style>
  <w:style w:type="character" w:customStyle="1" w:styleId="Heading4Char">
    <w:name w:val="Heading 4 Char"/>
    <w:basedOn w:val="DefaultParagraphFont"/>
    <w:link w:val="Heading4"/>
    <w:uiPriority w:val="9"/>
    <w:semiHidden/>
    <w:rsid w:val="001A060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A06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38043">
      <w:bodyDiv w:val="1"/>
      <w:marLeft w:val="0"/>
      <w:marRight w:val="0"/>
      <w:marTop w:val="0"/>
      <w:marBottom w:val="0"/>
      <w:divBdr>
        <w:top w:val="none" w:sz="0" w:space="0" w:color="auto"/>
        <w:left w:val="none" w:sz="0" w:space="0" w:color="auto"/>
        <w:bottom w:val="none" w:sz="0" w:space="0" w:color="auto"/>
        <w:right w:val="none" w:sz="0" w:space="0" w:color="auto"/>
      </w:divBdr>
      <w:divsChild>
        <w:div w:id="899366587">
          <w:marLeft w:val="0"/>
          <w:marRight w:val="0"/>
          <w:marTop w:val="0"/>
          <w:marBottom w:val="0"/>
          <w:divBdr>
            <w:top w:val="none" w:sz="0" w:space="0" w:color="auto"/>
            <w:left w:val="none" w:sz="0" w:space="0" w:color="auto"/>
            <w:bottom w:val="none" w:sz="0" w:space="0" w:color="auto"/>
            <w:right w:val="none" w:sz="0" w:space="0" w:color="auto"/>
          </w:divBdr>
        </w:div>
        <w:div w:id="998925215">
          <w:marLeft w:val="0"/>
          <w:marRight w:val="0"/>
          <w:marTop w:val="0"/>
          <w:marBottom w:val="0"/>
          <w:divBdr>
            <w:top w:val="none" w:sz="0" w:space="0" w:color="auto"/>
            <w:left w:val="none" w:sz="0" w:space="0" w:color="auto"/>
            <w:bottom w:val="none" w:sz="0" w:space="0" w:color="auto"/>
            <w:right w:val="none" w:sz="0" w:space="0" w:color="auto"/>
          </w:divBdr>
        </w:div>
        <w:div w:id="1852524117">
          <w:marLeft w:val="0"/>
          <w:marRight w:val="0"/>
          <w:marTop w:val="0"/>
          <w:marBottom w:val="0"/>
          <w:divBdr>
            <w:top w:val="none" w:sz="0" w:space="0" w:color="auto"/>
            <w:left w:val="none" w:sz="0" w:space="0" w:color="auto"/>
            <w:bottom w:val="none" w:sz="0" w:space="0" w:color="auto"/>
            <w:right w:val="none" w:sz="0" w:space="0" w:color="auto"/>
          </w:divBdr>
        </w:div>
        <w:div w:id="1090927292">
          <w:marLeft w:val="0"/>
          <w:marRight w:val="0"/>
          <w:marTop w:val="0"/>
          <w:marBottom w:val="0"/>
          <w:divBdr>
            <w:top w:val="none" w:sz="0" w:space="0" w:color="auto"/>
            <w:left w:val="none" w:sz="0" w:space="0" w:color="auto"/>
            <w:bottom w:val="none" w:sz="0" w:space="0" w:color="auto"/>
            <w:right w:val="none" w:sz="0" w:space="0" w:color="auto"/>
          </w:divBdr>
        </w:div>
        <w:div w:id="1776051292">
          <w:marLeft w:val="0"/>
          <w:marRight w:val="0"/>
          <w:marTop w:val="0"/>
          <w:marBottom w:val="0"/>
          <w:divBdr>
            <w:top w:val="none" w:sz="0" w:space="0" w:color="auto"/>
            <w:left w:val="none" w:sz="0" w:space="0" w:color="auto"/>
            <w:bottom w:val="none" w:sz="0" w:space="0" w:color="auto"/>
            <w:right w:val="none" w:sz="0" w:space="0" w:color="auto"/>
          </w:divBdr>
        </w:div>
        <w:div w:id="2021613638">
          <w:marLeft w:val="0"/>
          <w:marRight w:val="0"/>
          <w:marTop w:val="0"/>
          <w:marBottom w:val="0"/>
          <w:divBdr>
            <w:top w:val="none" w:sz="0" w:space="0" w:color="auto"/>
            <w:left w:val="none" w:sz="0" w:space="0" w:color="auto"/>
            <w:bottom w:val="none" w:sz="0" w:space="0" w:color="auto"/>
            <w:right w:val="none" w:sz="0" w:space="0" w:color="auto"/>
          </w:divBdr>
        </w:div>
        <w:div w:id="1969779411">
          <w:marLeft w:val="0"/>
          <w:marRight w:val="0"/>
          <w:marTop w:val="0"/>
          <w:marBottom w:val="0"/>
          <w:divBdr>
            <w:top w:val="none" w:sz="0" w:space="0" w:color="auto"/>
            <w:left w:val="none" w:sz="0" w:space="0" w:color="auto"/>
            <w:bottom w:val="none" w:sz="0" w:space="0" w:color="auto"/>
            <w:right w:val="none" w:sz="0" w:space="0" w:color="auto"/>
          </w:divBdr>
        </w:div>
        <w:div w:id="876116926">
          <w:marLeft w:val="0"/>
          <w:marRight w:val="0"/>
          <w:marTop w:val="0"/>
          <w:marBottom w:val="0"/>
          <w:divBdr>
            <w:top w:val="none" w:sz="0" w:space="0" w:color="auto"/>
            <w:left w:val="none" w:sz="0" w:space="0" w:color="auto"/>
            <w:bottom w:val="none" w:sz="0" w:space="0" w:color="auto"/>
            <w:right w:val="none" w:sz="0" w:space="0" w:color="auto"/>
          </w:divBdr>
        </w:div>
      </w:divsChild>
    </w:div>
    <w:div w:id="15711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2</cp:revision>
  <dcterms:created xsi:type="dcterms:W3CDTF">2019-09-30T09:49:00Z</dcterms:created>
  <dcterms:modified xsi:type="dcterms:W3CDTF">2019-09-30T09:55:00Z</dcterms:modified>
</cp:coreProperties>
</file>