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B04674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66407" w:history="1">
            <w:r w:rsidR="00B04674" w:rsidRPr="0074016B">
              <w:rPr>
                <w:rStyle w:val="a5"/>
                <w:noProof/>
              </w:rPr>
              <w:t>Введение</w:t>
            </w:r>
            <w:r w:rsidR="00B04674">
              <w:rPr>
                <w:noProof/>
                <w:webHidden/>
              </w:rPr>
              <w:tab/>
            </w:r>
            <w:r w:rsidR="00B04674">
              <w:rPr>
                <w:noProof/>
                <w:webHidden/>
              </w:rPr>
              <w:fldChar w:fldCharType="begin"/>
            </w:r>
            <w:r w:rsidR="00B04674">
              <w:rPr>
                <w:noProof/>
                <w:webHidden/>
              </w:rPr>
              <w:instrText xml:space="preserve"> PAGEREF _Toc417666407 \h </w:instrText>
            </w:r>
            <w:r w:rsidR="00B04674">
              <w:rPr>
                <w:noProof/>
                <w:webHidden/>
              </w:rPr>
            </w:r>
            <w:r w:rsidR="00B04674">
              <w:rPr>
                <w:noProof/>
                <w:webHidden/>
              </w:rPr>
              <w:fldChar w:fldCharType="separate"/>
            </w:r>
            <w:r w:rsidR="00B04674">
              <w:rPr>
                <w:noProof/>
                <w:webHidden/>
              </w:rPr>
              <w:t>2</w:t>
            </w:r>
            <w:r w:rsidR="00B04674"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08" w:history="1">
            <w:r w:rsidRPr="0074016B">
              <w:rPr>
                <w:rStyle w:val="a5"/>
                <w:noProof/>
              </w:rPr>
              <w:t>Анализ методов передачи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09" w:history="1">
            <w:r w:rsidRPr="0074016B">
              <w:rPr>
                <w:rStyle w:val="a5"/>
                <w:rFonts w:ascii="Times New Roman" w:hAnsi="Times New Roman" w:cs="Times New Roman"/>
                <w:noProof/>
              </w:rPr>
              <w:t>Исследование существующих методов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10" w:history="1">
            <w:r w:rsidRPr="0074016B">
              <w:rPr>
                <w:rStyle w:val="a5"/>
                <w:noProof/>
              </w:rPr>
              <w:t>Коды Соломона 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11" w:history="1">
            <w:r w:rsidRPr="0074016B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12" w:history="1">
            <w:r w:rsidRPr="0074016B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13" w:history="1">
            <w:r w:rsidRPr="0074016B">
              <w:rPr>
                <w:rStyle w:val="a5"/>
                <w:noProof/>
              </w:rPr>
              <w:t xml:space="preserve">Модель </w:t>
            </w:r>
            <w:r w:rsidRPr="0074016B">
              <w:rPr>
                <w:rStyle w:val="a5"/>
                <w:noProof/>
                <w:lang w:val="en-US"/>
              </w:rPr>
              <w:t>p</w:t>
            </w:r>
            <w:r w:rsidRPr="0074016B">
              <w:rPr>
                <w:rStyle w:val="a5"/>
                <w:noProof/>
              </w:rPr>
              <w:t xml:space="preserve"> </w:t>
            </w:r>
            <w:r w:rsidRPr="0074016B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14" w:history="1">
            <w:r w:rsidRPr="0074016B">
              <w:rPr>
                <w:rStyle w:val="a5"/>
                <w:noProof/>
              </w:rPr>
              <w:t>Модель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74" w:rsidRDefault="00B04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666415" w:history="1">
            <w:r w:rsidRPr="0074016B">
              <w:rPr>
                <w:rStyle w:val="a5"/>
                <w:noProof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  <w:bookmarkStart w:id="0" w:name="_GoBack"/>
      <w:bookmarkEnd w:id="0"/>
    </w:p>
    <w:p w:rsidR="00345839" w:rsidRPr="00345839" w:rsidRDefault="00FB4374" w:rsidP="00345839">
      <w:pPr>
        <w:pStyle w:val="1"/>
      </w:pPr>
      <w:bookmarkStart w:id="1" w:name="_Toc417666407"/>
      <w:r>
        <w:lastRenderedPageBreak/>
        <w:t>Введение</w:t>
      </w:r>
      <w:bookmarkEnd w:id="1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spacing w:line="360" w:lineRule="auto"/>
        <w:jc w:val="center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Система</w:t>
      </w:r>
      <w:proofErr w:type="gramEnd"/>
      <w:r w:rsidRPr="00A82B38">
        <w:rPr>
          <w:color w:val="auto"/>
          <w:sz w:val="20"/>
          <w:szCs w:val="20"/>
        </w:rPr>
        <w:t xml:space="preserve">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сигнал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Непосредственно линия связи, часто с усилительным или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переприёмным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демодуляционного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jc w:val="both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Дискретный</w:t>
      </w:r>
      <w:proofErr w:type="gramEnd"/>
      <w:r w:rsidRPr="00A82B38">
        <w:rPr>
          <w:color w:val="auto"/>
          <w:sz w:val="20"/>
          <w:szCs w:val="20"/>
        </w:rPr>
        <w:t xml:space="preserve">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 представляется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Отличие на некоторых позициях выходных символов от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входных(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>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Смещение номеров позиций выходной последовательности символов от позиций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входной  последовательности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2" w:name="_Toc417666408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2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D1615D" w:rsidRPr="009F46C1" w:rsidRDefault="00D1615D" w:rsidP="00841849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17666409"/>
      <w:r w:rsidRPr="009F46C1">
        <w:rPr>
          <w:rFonts w:ascii="Times New Roman" w:hAnsi="Times New Roman" w:cs="Times New Roman"/>
          <w:color w:val="auto"/>
          <w:sz w:val="24"/>
          <w:szCs w:val="24"/>
        </w:rPr>
        <w:t>Исследование существующих методов исправления ошибок</w:t>
      </w:r>
      <w:bookmarkEnd w:id="3"/>
    </w:p>
    <w:p w:rsidR="00841849" w:rsidRPr="00841849" w:rsidRDefault="00841849" w:rsidP="00841849">
      <w:pPr>
        <w:pStyle w:val="3"/>
      </w:pPr>
      <w:bookmarkStart w:id="4" w:name="_Toc417666410"/>
      <w:r>
        <w:t>Коды Соломона Рида</w:t>
      </w:r>
      <w:bookmarkEnd w:id="4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0C59D1">
        <w:rPr>
          <w:color w:val="252525"/>
          <w:sz w:val="20"/>
          <w:szCs w:val="20"/>
        </w:rPr>
        <w:t>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Степень </w:t>
      </w:r>
      <w:proofErr w:type="gramStart"/>
      <w:r w:rsidRPr="000C59D1">
        <w:rPr>
          <w:color w:val="252525"/>
          <w:sz w:val="20"/>
          <w:szCs w:val="20"/>
        </w:rPr>
        <w:t>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расстояний Хемминга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всех пар кодовых слов, см.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Линейный код</w:t>
      </w:r>
      <w:r w:rsidRPr="000C59D1">
        <w:rPr>
          <w:color w:val="252525"/>
          <w:sz w:val="20"/>
          <w:szCs w:val="20"/>
        </w:rPr>
        <w:t xml:space="preserve">). Код </w:t>
      </w:r>
      <w:proofErr w:type="gramStart"/>
      <w:r w:rsidRPr="000C59D1">
        <w:rPr>
          <w:color w:val="252525"/>
          <w:sz w:val="20"/>
          <w:szCs w:val="20"/>
        </w:rPr>
        <w:t>содержит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</w:t>
      </w:r>
      <w:proofErr w:type="gramEnd"/>
      <w:r w:rsidRPr="000C59D1">
        <w:rPr>
          <w:color w:val="252525"/>
          <w:sz w:val="20"/>
          <w:szCs w:val="20"/>
        </w:rPr>
        <w:t xml:space="preserve">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Таким </w:t>
      </w:r>
      <w:proofErr w:type="gramStart"/>
      <w:r w:rsidRPr="000C59D1">
        <w:rPr>
          <w:color w:val="252525"/>
          <w:sz w:val="20"/>
          <w:szCs w:val="20"/>
        </w:rPr>
        <w:t>образом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код Рида — Соломона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(является оптимальным в смысле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 xml:space="preserve">границы </w:t>
      </w:r>
      <w:proofErr w:type="spellStart"/>
      <w:r w:rsidRPr="000C59D1">
        <w:rPr>
          <w:rFonts w:eastAsiaTheme="majorEastAsia"/>
          <w:sz w:val="20"/>
          <w:szCs w:val="20"/>
        </w:rPr>
        <w:t>Синглтона</w:t>
      </w:r>
      <w:proofErr w:type="spellEnd"/>
      <w:r w:rsidRPr="000C59D1">
        <w:rPr>
          <w:color w:val="252525"/>
          <w:sz w:val="20"/>
          <w:szCs w:val="20"/>
        </w:rPr>
        <w:t>).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путем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Кодирование с помощью кода Рида — Соломона может быть реализовано двумя способами: систематическим и несистематическим.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0C59D1">
        <w:rPr>
          <w:color w:val="252525"/>
          <w:sz w:val="20"/>
          <w:szCs w:val="20"/>
        </w:rPr>
        <w:t>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</w:t>
      </w:r>
      <w:proofErr w:type="gramEnd"/>
      <w:r w:rsidRPr="000C59D1">
        <w:rPr>
          <w:color w:val="252525"/>
          <w:sz w:val="20"/>
          <w:szCs w:val="20"/>
        </w:rPr>
        <w:t xml:space="preserve">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</w:t>
      </w:r>
      <w:proofErr w:type="gramStart"/>
      <w:r w:rsidRPr="000C59D1">
        <w:rPr>
          <w:color w:val="252525"/>
          <w:sz w:val="20"/>
          <w:szCs w:val="20"/>
        </w:rPr>
        <w:t>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операций</w:t>
      </w:r>
      <w:proofErr w:type="gramEnd"/>
      <w:r w:rsidRPr="000C59D1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46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46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0C59D1">
        <w:rPr>
          <w:color w:val="252525"/>
          <w:sz w:val="20"/>
          <w:szCs w:val="20"/>
        </w:rPr>
        <w:t>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b/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lastRenderedPageBreak/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0C59D1">
        <w:rPr>
          <w:color w:val="252525"/>
          <w:sz w:val="20"/>
          <w:szCs w:val="20"/>
        </w:rPr>
        <w:t>показывает ,</w:t>
      </w:r>
      <w:proofErr w:type="gramEnd"/>
      <w:r w:rsidRPr="000C59D1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по примитивному элементу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Все дело в </w:t>
      </w:r>
      <w:proofErr w:type="gramStart"/>
      <w:r w:rsidRPr="000C59D1">
        <w:rPr>
          <w:color w:val="252525"/>
          <w:sz w:val="20"/>
          <w:szCs w:val="20"/>
        </w:rPr>
        <w:t>том ,</w:t>
      </w:r>
      <w:proofErr w:type="gramEnd"/>
      <w:r w:rsidRPr="000C59D1">
        <w:rPr>
          <w:color w:val="252525"/>
          <w:sz w:val="20"/>
          <w:szCs w:val="20"/>
        </w:rPr>
        <w:t xml:space="preserve"> что за разностью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5" w:name="_Toc417666411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5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B04674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330325" cy="201930"/>
            <wp:effectExtent l="0" t="0" r="3175" b="7620"/>
            <wp:docPr id="140358" name="Рисунок 140358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472565" cy="201930"/>
            <wp:effectExtent l="0" t="0" r="0" b="7620"/>
            <wp:docPr id="140357" name="Рисунок 140357" descr="c(x) = [s(x)\;m(x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(x) = [s(x)\;m(x)]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600960" cy="201930"/>
            <wp:effectExtent l="0" t="0" r="8890" b="7620"/>
            <wp:docPr id="140361" name="Рисунок 140361" descr="c(x)=x^rm(x) + s(x),r=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(x)=x^rm(x) + s(x),r=n-k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3028315" cy="201930"/>
            <wp:effectExtent l="0" t="0" r="635" b="7620"/>
            <wp:docPr id="140360" name="Рисунок 140360" descr="c(x)=x^rm(x) + s(x)=0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(x)=x^rm(x) + s(x)=0\mod g(x)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256155" cy="201930"/>
            <wp:effectExtent l="0" t="0" r="0" b="7620"/>
            <wp:docPr id="140359" name="Рисунок 140359" descr="s(x)=-x^r m(x)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(x)=-x^r m(x)\mod g(x)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1651D6" w:rsidRDefault="001651D6" w:rsidP="001651D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6" w:name="_Toc417666412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6"/>
    </w:p>
    <w:p w:rsidR="003360D2" w:rsidRPr="000C59D1" w:rsidRDefault="003360D2" w:rsidP="003D20B7">
      <w:pPr>
        <w:pStyle w:val="2"/>
      </w:pPr>
      <w:bookmarkStart w:id="7" w:name="_Toc417666413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7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C59D1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0C59D1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с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8" w:name="_Toc417666414"/>
      <w:r w:rsidRPr="000C59D1">
        <w:rPr>
          <w:rFonts w:eastAsiaTheme="minorEastAsia"/>
        </w:rPr>
        <w:t>Модель ОПП.</w:t>
      </w:r>
      <w:bookmarkEnd w:id="8"/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л не константой, а случайной величиной или процессом. Получающийся путем рандомизации л новый случайный процесс называют обобщенным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пуассоновским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0C59D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Будем считать л случайной величиной, закон распределения которой известен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C59D1">
        <w:rPr>
          <w:rFonts w:ascii="Times New Roman" w:hAnsi="Times New Roman" w:cs="Times New Roman"/>
          <w:sz w:val="20"/>
          <w:szCs w:val="20"/>
        </w:rPr>
        <w:t>(л). Тогда канал задается как поток ошибок первым способом: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0C59D1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59D1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3360D2" w:rsidRPr="000C59D1" w:rsidRDefault="00B04674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C41206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952750" cy="482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функции генерации позиции ошибки в потоке битов.</w:t>
      </w:r>
    </w:p>
    <w:p w:rsidR="00F13CAF" w:rsidRDefault="00F13C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360D2" w:rsidRPr="009F46C1" w:rsidRDefault="00476884" w:rsidP="009F46C1">
      <w:pPr>
        <w:pStyle w:val="1"/>
        <w:jc w:val="center"/>
        <w:rPr>
          <w:color w:val="252525"/>
          <w:sz w:val="28"/>
          <w:szCs w:val="28"/>
        </w:rPr>
      </w:pPr>
      <w:bookmarkStart w:id="9" w:name="_Toc417666415"/>
      <w:r w:rsidRPr="009F46C1">
        <w:rPr>
          <w:sz w:val="28"/>
          <w:szCs w:val="28"/>
        </w:rPr>
        <w:lastRenderedPageBreak/>
        <w:t>Анализ результатов.</w:t>
      </w:r>
      <w:bookmarkEnd w:id="9"/>
    </w:p>
    <w:sectPr w:rsidR="003360D2" w:rsidRPr="009F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1"/>
  </w:num>
  <w:num w:numId="14">
    <w:abstractNumId w:val="12"/>
  </w:num>
  <w:num w:numId="15">
    <w:abstractNumId w:val="4"/>
  </w:num>
  <w:num w:numId="16">
    <w:abstractNumId w:val="10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51645"/>
    <w:rsid w:val="00056065"/>
    <w:rsid w:val="000C59D1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D20B7"/>
    <w:rsid w:val="003E132C"/>
    <w:rsid w:val="00451B82"/>
    <w:rsid w:val="00476884"/>
    <w:rsid w:val="00484DE9"/>
    <w:rsid w:val="004E5AE4"/>
    <w:rsid w:val="00501BB1"/>
    <w:rsid w:val="00525678"/>
    <w:rsid w:val="005B0817"/>
    <w:rsid w:val="005D0C78"/>
    <w:rsid w:val="005E2584"/>
    <w:rsid w:val="00617272"/>
    <w:rsid w:val="0062504B"/>
    <w:rsid w:val="00626ED8"/>
    <w:rsid w:val="006842FF"/>
    <w:rsid w:val="00695090"/>
    <w:rsid w:val="007020D3"/>
    <w:rsid w:val="0070715A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900141"/>
    <w:rsid w:val="00931153"/>
    <w:rsid w:val="009D10B8"/>
    <w:rsid w:val="009F46C1"/>
    <w:rsid w:val="00A269A4"/>
    <w:rsid w:val="00A55EBD"/>
    <w:rsid w:val="00A82B38"/>
    <w:rsid w:val="00AC5312"/>
    <w:rsid w:val="00AF7AAB"/>
    <w:rsid w:val="00B00A23"/>
    <w:rsid w:val="00B04674"/>
    <w:rsid w:val="00B7224C"/>
    <w:rsid w:val="00BE70D1"/>
    <w:rsid w:val="00C153AA"/>
    <w:rsid w:val="00C41206"/>
    <w:rsid w:val="00C82ECF"/>
    <w:rsid w:val="00C86D44"/>
    <w:rsid w:val="00C94B35"/>
    <w:rsid w:val="00CD11C1"/>
    <w:rsid w:val="00CE11E0"/>
    <w:rsid w:val="00D1615D"/>
    <w:rsid w:val="00D501F3"/>
    <w:rsid w:val="00D9642C"/>
    <w:rsid w:val="00DB4862"/>
    <w:rsid w:val="00DD6FB2"/>
    <w:rsid w:val="00DE5429"/>
    <w:rsid w:val="00E0008A"/>
    <w:rsid w:val="00E02F67"/>
    <w:rsid w:val="00E530DC"/>
    <w:rsid w:val="00EA1EF6"/>
    <w:rsid w:val="00F03686"/>
    <w:rsid w:val="00F13CAF"/>
    <w:rsid w:val="00F1452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gif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A2D9E-9243-4B5C-B5EC-79A7AC92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74</cp:revision>
  <dcterms:created xsi:type="dcterms:W3CDTF">2015-04-06T17:03:00Z</dcterms:created>
  <dcterms:modified xsi:type="dcterms:W3CDTF">2015-04-24T16:18:00Z</dcterms:modified>
</cp:coreProperties>
</file>