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120"/>
        <w:jc w:val="center"/>
      </w:pPr>
      <w:r>
        <w:rPr>
          <w:rFonts w:ascii="Calibri" w:hAnsi="Calibri"/>
          <w:b/>
          <w:color w:val="003366"/>
          <w:sz w:val="52"/>
        </w:rPr>
        <w:t>From Strategy to Sprint in 5 Minutes</w:t>
      </w:r>
    </w:p>
    <w:p>
      <w:pPr>
        <w:spacing w:after="240"/>
        <w:jc w:val="center"/>
      </w:pPr>
      <w:r>
        <w:rPr>
          <w:rFonts w:ascii="Calibri" w:hAnsi="Calibri"/>
          <w:color w:val="0066B2"/>
          <w:sz w:val="26"/>
        </w:rPr>
        <w:t>How AI Multi-Agent Orchestration is Redefining</w:t>
        <w:br/>
        <w:t>Business Transformation in Banking</w:t>
      </w:r>
    </w:p>
    <w:p>
      <w:pPr>
        <w:spacing w:after="40"/>
        <w:jc w:val="center"/>
      </w:pPr>
      <w:r>
        <w:rPr>
          <w:rFonts w:ascii="Calibri" w:hAnsi="Calibri"/>
          <w:i/>
          <w:color w:val="646464"/>
          <w:sz w:val="19"/>
        </w:rPr>
        <w:t>Business Transformation Architect (BTA) Platform  |  Case Study: US Bancorp (NYSE: USB)</w:t>
      </w:r>
    </w:p>
    <w:p>
      <w:pPr>
        <w:spacing w:after="160"/>
      </w:pPr>
    </w:p>
    <w:tbl>
      <w:tblPr>
        <w:tblW w:type="auto" w:w="0"/>
        <w:jc w:val="center"/>
        <w:tblLook w:firstColumn="1" w:firstRow="1" w:lastColumn="0" w:lastRow="0" w:noHBand="0" w:noVBand="1" w:val="04A0"/>
      </w:tblPr>
      <w:tblGrid>
        <w:gridCol w:w="2408"/>
        <w:gridCol w:w="2408"/>
        <w:gridCol w:w="2408"/>
        <w:gridCol w:w="2408"/>
      </w:tblGrid>
      <w:tr>
        <w:tc>
          <w:tcPr>
            <w:tcW w:type="dxa" w:w="2408"/>
            <w:shd w:fill="EBF0F7"/>
          </w:tcPr>
          <w:p>
            <w:pPr>
              <w:spacing w:after="0"/>
              <w:jc w:val="center"/>
            </w:pPr>
            <w:r/>
            <w:r>
              <w:rPr>
                <w:rFonts w:ascii="Calibri" w:hAnsi="Calibri"/>
                <w:b/>
                <w:color w:val="0066B2"/>
                <w:sz w:val="40"/>
              </w:rPr>
              <w:t>~5 min</w:t>
            </w:r>
          </w:p>
        </w:tc>
        <w:tc>
          <w:tcPr>
            <w:tcW w:type="dxa" w:w="2408"/>
            <w:shd w:fill="EBF0F7"/>
          </w:tcPr>
          <w:p>
            <w:pPr>
              <w:spacing w:after="0"/>
              <w:jc w:val="center"/>
            </w:pPr>
            <w:r/>
            <w:r>
              <w:rPr>
                <w:rFonts w:ascii="Calibri" w:hAnsi="Calibri"/>
                <w:b/>
                <w:color w:val="0066B2"/>
                <w:sz w:val="40"/>
              </w:rPr>
              <w:t>$0.05</w:t>
            </w:r>
          </w:p>
        </w:tc>
        <w:tc>
          <w:tcPr>
            <w:tcW w:type="dxa" w:w="2408"/>
            <w:shd w:fill="EBF0F7"/>
          </w:tcPr>
          <w:p>
            <w:pPr>
              <w:spacing w:after="0"/>
              <w:jc w:val="center"/>
            </w:pPr>
            <w:r/>
            <w:r>
              <w:rPr>
                <w:rFonts w:ascii="Calibri" w:hAnsi="Calibri"/>
                <w:b/>
                <w:color w:val="0066B2"/>
                <w:sz w:val="40"/>
              </w:rPr>
              <w:t>200+</w:t>
            </w:r>
          </w:p>
        </w:tc>
        <w:tc>
          <w:tcPr>
            <w:tcW w:type="dxa" w:w="2408"/>
            <w:shd w:fill="EBF0F7"/>
          </w:tcPr>
          <w:p>
            <w:pPr>
              <w:spacing w:after="0"/>
              <w:jc w:val="center"/>
            </w:pPr>
            <w:r/>
            <w:r>
              <w:rPr>
                <w:rFonts w:ascii="Calibri" w:hAnsi="Calibri"/>
                <w:b/>
                <w:color w:val="0066B2"/>
                <w:sz w:val="40"/>
              </w:rPr>
              <w:t>99.99%</w:t>
            </w:r>
          </w:p>
        </w:tc>
      </w:tr>
      <w:tr>
        <w:tc>
          <w:tcPr>
            <w:tcW w:type="dxa" w:w="2408"/>
            <w:shd w:fill="EBF0F7"/>
          </w:tcPr>
          <w:p>
            <w:pPr>
              <w:spacing w:before="0"/>
              <w:jc w:val="center"/>
            </w:pPr>
            <w:r/>
            <w:r>
              <w:rPr>
                <w:rFonts w:ascii="Calibri" w:hAnsi="Calibri"/>
                <w:color w:val="333333"/>
                <w:sz w:val="16"/>
              </w:rPr>
              <w:t>End-to-End Time</w:t>
            </w:r>
          </w:p>
        </w:tc>
        <w:tc>
          <w:tcPr>
            <w:tcW w:type="dxa" w:w="2408"/>
            <w:shd w:fill="EBF0F7"/>
          </w:tcPr>
          <w:p>
            <w:pPr>
              <w:spacing w:before="0"/>
              <w:jc w:val="center"/>
            </w:pPr>
            <w:r/>
            <w:r>
              <w:rPr>
                <w:rFonts w:ascii="Calibri" w:hAnsi="Calibri"/>
                <w:color w:val="333333"/>
                <w:sz w:val="16"/>
              </w:rPr>
              <w:t>Total AI Cost</w:t>
            </w:r>
          </w:p>
        </w:tc>
        <w:tc>
          <w:tcPr>
            <w:tcW w:type="dxa" w:w="2408"/>
            <w:shd w:fill="EBF0F7"/>
          </w:tcPr>
          <w:p>
            <w:pPr>
              <w:spacing w:before="0"/>
              <w:jc w:val="center"/>
            </w:pPr>
            <w:r/>
            <w:r>
              <w:rPr>
                <w:rFonts w:ascii="Calibri" w:hAnsi="Calibri"/>
                <w:color w:val="333333"/>
                <w:sz w:val="16"/>
              </w:rPr>
              <w:t>Artifacts Generated</w:t>
            </w:r>
          </w:p>
        </w:tc>
        <w:tc>
          <w:tcPr>
            <w:tcW w:type="dxa" w:w="2408"/>
            <w:shd w:fill="EBF0F7"/>
          </w:tcPr>
          <w:p>
            <w:pPr>
              <w:spacing w:before="0"/>
              <w:jc w:val="center"/>
            </w:pPr>
            <w:r/>
            <w:r>
              <w:rPr>
                <w:rFonts w:ascii="Calibri" w:hAnsi="Calibri"/>
                <w:color w:val="333333"/>
                <w:sz w:val="16"/>
              </w:rPr>
              <w:t>Cost Reduction</w:t>
            </w:r>
          </w:p>
        </w:tc>
      </w:tr>
    </w:tbl>
    <w:p>
      <w:pPr>
        <w:spacing w:after="40"/>
      </w:pPr>
    </w:p>
    <w:p>
      <w:pPr>
        <w:pStyle w:val="Heading2"/>
      </w:pPr>
      <w:r>
        <w:t>The Transformation Planning Gap</w:t>
      </w:r>
    </w:p>
    <w:p>
      <w:pPr>
        <w:spacing w:after="60"/>
      </w:pPr>
      <w:r>
        <w:rPr>
          <w:rFonts w:ascii="Calibri" w:hAnsi="Calibri"/>
          <w:sz w:val="20"/>
        </w:rPr>
        <w:t>Every year, the banking industry spends billions on business transformation — yet the planning process itself remains stuck in the 1990s. A typical engagement begins with a strategy consulting firm running workshops, interviewing stakeholders, and producing PowerPoint decks over 5-10 months at a cost of $160K-540K. Product teams then attempt to translate those decks into roadmaps using different tools and different assumptions. Engineering teams decompose roadmaps into backlogs weeks later, with limited context on the original strategic rationale.</w:t>
      </w:r>
    </w:p>
    <w:p>
      <w:pPr>
        <w:spacing w:after="60"/>
      </w:pPr>
      <w:r>
        <w:rPr>
          <w:rFonts w:ascii="Calibri" w:hAnsi="Calibri"/>
          <w:sz w:val="20"/>
        </w:rPr>
        <w:t xml:space="preserve">The result is a </w:t>
      </w:r>
      <w:r>
        <w:rPr>
          <w:rFonts w:ascii="Calibri" w:hAnsi="Calibri"/>
          <w:b/>
          <w:sz w:val="20"/>
        </w:rPr>
        <w:t>strategy-to-execution gap</w:t>
      </w:r>
      <w:r>
        <w:rPr>
          <w:rFonts w:ascii="Calibri" w:hAnsi="Calibri"/>
          <w:sz w:val="20"/>
        </w:rPr>
        <w:t xml:space="preserve"> that plagues the industry: no traceable link between a board-level objective and the user stories in a team’s sprint. When priorities shift — as they always do in banking — there is no efficient way to trace the impact. Meanwhile, fintechs like Chime and SoFi move from idea to production in weeks, not quarters. Regulatory complexity (OCC, Fed, Basel III) adds layers that generic consulting frameworks don’t address. And 196-400 hours of senior stakeholder time disappear into workshop rooms.</w:t>
      </w:r>
    </w:p>
    <w:p>
      <w:pPr>
        <w:spacing w:after="60"/>
      </w:pPr>
      <w:r>
        <w:rPr>
          <w:rFonts w:ascii="Calibri" w:hAnsi="Calibri"/>
          <w:sz w:val="20"/>
        </w:rPr>
        <w:t xml:space="preserve">The </w:t>
      </w:r>
      <w:r>
        <w:rPr>
          <w:rFonts w:ascii="Calibri" w:hAnsi="Calibri"/>
          <w:b/>
          <w:sz w:val="20"/>
        </w:rPr>
        <w:t>Business Transformation Architect (BTA)</w:t>
      </w:r>
      <w:r>
        <w:rPr>
          <w:rFonts w:ascii="Calibri" w:hAnsi="Calibri"/>
          <w:sz w:val="20"/>
        </w:rPr>
        <w:t xml:space="preserve"> platform takes a fundamentally different approach. Instead of months of manual analysis, </w:t>
      </w:r>
      <w:r>
        <w:rPr>
          <w:rFonts w:ascii="Calibri" w:hAnsi="Calibri"/>
          <w:b/>
          <w:sz w:val="20"/>
        </w:rPr>
        <w:t>13 specialized AI agents</w:t>
      </w:r>
      <w:r>
        <w:rPr>
          <w:rFonts w:ascii="Calibri" w:hAnsi="Calibri"/>
          <w:sz w:val="20"/>
        </w:rPr>
        <w:t xml:space="preserve"> work sequentially through a 7-step pipeline — from live financial data ingestion to sprint-ready feature backlogs — with human review gates at every step. Each agent builds on the verified output of the previous one, maintaining complete data lineage. What follows is a real demonstration using US Bancorp, the fifth-largest US commercial bank.</w:t>
      </w:r>
    </w:p>
    <w:p>
      <w:r>
        <w:br w:type="page"/>
      </w:r>
    </w:p>
    <w:p>
      <w:pPr>
        <w:pStyle w:val="Heading1"/>
      </w:pPr>
      <w:r>
        <w:t>The 7-Step AI Pipeline: How It Works</w:t>
      </w:r>
    </w:p>
    <w:p>
      <w:pPr>
        <w:spacing w:after="60"/>
      </w:pPr>
      <w:r>
        <w:rPr>
          <w:rFonts w:ascii="Calibri" w:hAnsi="Calibri"/>
          <w:sz w:val="20"/>
        </w:rPr>
        <w:t xml:space="preserve">Traditional transformation is sequential and manual: one team researches financials, another runs workshops, a third writes strategy, a fourth builds backlogs. Each handoff loses context. BTA replaces this with a </w:t>
      </w:r>
      <w:r>
        <w:rPr>
          <w:rFonts w:ascii="Calibri" w:hAnsi="Calibri"/>
          <w:b/>
          <w:sz w:val="20"/>
        </w:rPr>
        <w:t>continuous data pipeline</w:t>
      </w:r>
      <w:r>
        <w:rPr>
          <w:rFonts w:ascii="Calibri" w:hAnsi="Calibri"/>
          <w:sz w:val="20"/>
        </w:rPr>
        <w:t xml:space="preserve"> where each AI agent receives the complete output of all upstream agents. The SWOT agent, for example, doesn’t generate analysis from general knowledge — it builds every entry from the specific financial gaps, process bottlenecks, and competitor benchmarks identified in Steps 1-2. Nothing is opinion; everything cites its source.</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Step</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What Happens</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Time</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US Bancorp Output</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 Financial Analysis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Auto-ingest from Finnhub + Alpha Vantage APIs, benchmark competitors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30 sec</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20+ KPIs, 3 competitor profiles</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2. Value Stream Mapping</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Map processes, flag bottlenecks, generate improvement levers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3 min</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4 streams, 17 steps, 6 levers</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3. SWOT → TOWS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Evidence-based SWOT with severity scoring, cross-referenced TOWS actions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90 sec</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16 SWOT entries, 6 TOWS actions</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4. Strategy &amp; OKRs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4-layer strategy formulation, OKRs with data-anchored targets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60 sec</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 strategies, 6 OKRs, 13 KRs</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5. Initiative Scoring</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RICE quantitative prioritization, digital product definition</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60 sec</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8 initiatives, 6 products, 4 groups</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 Epics &amp; Teams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Team formation, epic decomposition, dependency mapping</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90 sec</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 teams, 8 epics, 3 dependencies</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7. Feature Backlog</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User stories with Given/When/Then acceptance criteria</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45 sec</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15 features, 4 delivery OKRs</w:t>
            </w:r>
          </w:p>
        </w:tc>
      </w:tr>
    </w:tbl>
    <w:p>
      <w:pPr>
        <w:spacing w:before="20" w:after="20"/>
      </w:pPr>
    </w:p>
    <w:p>
      <w:pPr>
        <w:pStyle w:val="Heading1"/>
      </w:pPr>
      <w:r>
        <w:t>Step 1 in Action: Instant Financial Intelligence</w:t>
      </w:r>
    </w:p>
    <w:p>
      <w:pPr>
        <w:spacing w:after="60"/>
      </w:pPr>
      <w:r>
        <w:rPr>
          <w:rFonts w:ascii="Calibri" w:hAnsi="Calibri"/>
          <w:sz w:val="20"/>
        </w:rPr>
        <w:t xml:space="preserve">The pipeline starts with a single input: "US Bancorp, Banking &amp; Financial Services." Within 30 seconds, the platform ingested live market data, extracted 20+ financial KPIs, decomposed revenue across 4 business lines and 5 geographic regions, and benchmarked USB against three automatically discovered competitors. The AI immediately surfaced what would take a consulting analyst weeks to uncover: USB’s </w:t>
      </w:r>
      <w:r>
        <w:rPr>
          <w:rFonts w:ascii="Calibri" w:hAnsi="Calibri"/>
          <w:b/>
          <w:sz w:val="20"/>
        </w:rPr>
        <w:t>efficiency ratio (61.2%) significantly lags JPMorgan (55%) and PNC (58%)</w:t>
      </w:r>
      <w:r>
        <w:rPr>
          <w:rFonts w:ascii="Calibri" w:hAnsi="Calibri"/>
          <w:sz w:val="20"/>
        </w:rPr>
        <w:t>, while its payment services division (Elavon, processing $500B+ annually) represents an underleveraged competitive strength.</w:t>
      </w:r>
    </w:p>
    <w:tbl>
      <w:tblPr>
        <w:tblW w:type="auto" w:w="0"/>
        <w:jc w:val="center"/>
        <w:tblLayout w:type="autofit"/>
        <w:tblLook w:firstColumn="1" w:firstRow="1" w:lastColumn="0" w:lastRow="0" w:noHBand="0" w:noVBand="1" w:val="04A0"/>
      </w:tblPr>
      <w:tblGrid>
        <w:gridCol w:w="1926"/>
        <w:gridCol w:w="1926"/>
        <w:gridCol w:w="1926"/>
        <w:gridCol w:w="1926"/>
        <w:gridCol w:w="1926"/>
      </w:tblGrid>
      <w:tr>
        <w:tc>
          <w:tcPr>
            <w:tcW w:type="dxa" w:w="1926"/>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Metric</w:t>
            </w:r>
          </w:p>
        </w:tc>
        <w:tc>
          <w:tcPr>
            <w:tcW w:type="dxa" w:w="1926"/>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US Bancorp</w:t>
            </w:r>
          </w:p>
        </w:tc>
        <w:tc>
          <w:tcPr>
            <w:tcW w:type="dxa" w:w="1926"/>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JPMorgan</w:t>
            </w:r>
          </w:p>
        </w:tc>
        <w:tc>
          <w:tcPr>
            <w:tcW w:type="dxa" w:w="1926"/>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Wells Fargo</w:t>
            </w:r>
          </w:p>
        </w:tc>
        <w:tc>
          <w:tcPr>
            <w:tcW w:type="dxa" w:w="1926"/>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PNC</w:t>
            </w:r>
          </w:p>
        </w:tc>
      </w:tr>
      <w:tr>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Market Cap</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$87B</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$690B</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$218B</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$85B</w:t>
            </w:r>
          </w:p>
        </w:tc>
      </w:tr>
      <w:tr>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Revenue</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$25.2B</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$177.6B</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$82.6B</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$22.4B</w:t>
            </w:r>
          </w:p>
        </w:tc>
      </w:tr>
      <w:tr>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Profit Margin</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24.1%</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33.4%</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25.5%</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26.8%</w:t>
            </w:r>
          </w:p>
        </w:tc>
      </w:tr>
      <w:tr>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ROE</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11.6%</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17.0%</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12.0%</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12.0%</w:t>
            </w:r>
          </w:p>
        </w:tc>
      </w:tr>
      <w:tr>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Efficiency Ratio</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61.2%</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55%</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w:t>
            </w:r>
          </w:p>
        </w:tc>
        <w:tc>
          <w:tcPr>
            <w:tcW w:type="dxa" w:w="192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58%</w:t>
            </w:r>
          </w:p>
        </w:tc>
      </w:tr>
      <w:tr>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Tech Spend</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$3.5B</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$15B+</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w:t>
            </w:r>
          </w:p>
        </w:tc>
        <w:tc>
          <w:tcPr>
            <w:tcW w:type="dxa" w:w="1926"/>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w:t>
            </w:r>
          </w:p>
        </w:tc>
      </w:tr>
    </w:tbl>
    <w:p>
      <w:pPr>
        <w:spacing w:before="20" w:after="20"/>
      </w:pPr>
    </w:p>
    <w:p>
      <w:pPr>
        <w:spacing w:after="60"/>
      </w:pPr>
      <w:r>
        <w:rPr>
          <w:rFonts w:ascii="Calibri" w:hAnsi="Calibri"/>
          <w:sz w:val="20"/>
        </w:rPr>
        <w:t>These insights — the efficiency gap, the payment leadership position, the tech spend constraint — flow directly into Steps 2-3, where they shape value stream priorities, SWOT severity scores, and ultimately the strategic actions the platform recommends. Every downstream artifact inherits this data lineage.</w:t>
      </w:r>
    </w:p>
    <w:p>
      <w:r>
        <w:br w:type="page"/>
      </w:r>
    </w:p>
    <w:p>
      <w:pPr>
        <w:pStyle w:val="Heading1"/>
      </w:pPr>
      <w:r>
        <w:t>From Data to Strategy: What the AI Uncovered</w:t>
      </w:r>
    </w:p>
    <w:p>
      <w:pPr>
        <w:spacing w:after="60"/>
      </w:pPr>
      <w:r>
        <w:rPr>
          <w:rFonts w:ascii="Calibri" w:hAnsi="Calibri"/>
          <w:sz w:val="20"/>
        </w:rPr>
        <w:t>In Steps 2-3, the platform mapped 4 value streams (17 process steps) and identified critical bottlenecks — including a mortgage underwriting process where 60% of applications require manual review against a 20% target, and merchant payment settlement locked in T+1 batch processing while the industry moves to real-time. The SWOT engine then synthesized these operational findings with the financial data into 16 scored entries: USB’s strengths (#1 corporate payments, $675B in assets, 75% digital transactions), weaknesses (efficiency ratio gap, CRE exposure at 18%, tech budget 25% of JPM’s), opportunities (embedded finance, FedNow, est. $800M Gen AI savings), and threats (fintech disruption, margin compression, Basel III).</w:t>
      </w:r>
    </w:p>
    <w:p>
      <w:pPr>
        <w:spacing w:after="60"/>
      </w:pPr>
      <w:r>
        <w:rPr>
          <w:rFonts w:ascii="Calibri" w:hAnsi="Calibri"/>
          <w:sz w:val="20"/>
        </w:rPr>
        <w:t xml:space="preserve">The TOWS engine cross-referenced these into </w:t>
      </w:r>
      <w:r>
        <w:rPr>
          <w:rFonts w:ascii="Calibri" w:hAnsi="Calibri"/>
          <w:b/>
          <w:sz w:val="20"/>
        </w:rPr>
        <w:t>6 prioritized strategic actions</w:t>
      </w:r>
      <w:r>
        <w:rPr>
          <w:rFonts w:ascii="Calibri" w:hAnsi="Calibri"/>
          <w:sz w:val="20"/>
        </w:rPr>
        <w:t>. The highest-scored action (10/10 impact): "Deploy Gen AI across operations to reduce efficiency ratio from 61% to 55%" — directly pairing the efficiency weakness with the Gen AI opportunity. This became the foundation for the 4-layer strategy:</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Layer</w:t>
            </w:r>
          </w:p>
        </w:tc>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Strategy</w:t>
            </w:r>
          </w:p>
        </w:tc>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Top OKR (Data-Anchored)</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Business</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Real-Time Payment Leadership</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25% of Elavon settlements real-time by Q4 2026 (baseline: 5%)</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Business</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Embedded Finance &amp; BaaS</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$500M BaaS revenue, 20 partners by 2027 (baseline: 2 pilots)</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Digital</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AI-First Operations</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Efficiency ratio 61.2% → 55%; $400M AI cost savings (baseline: $25M)</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Digital</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Next-Gen Digital Banking</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 app rating, 70% digital account opens (baseline: 48%)</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Data</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Unified Customer Intelligence</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95% unified profiles across 4 business lines (baseline: 35%)</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Gen AI</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Banking Operations Copilot</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5,000 daily copilot users; 30% faster loan processing (baseline: 200)</w:t>
            </w:r>
          </w:p>
        </w:tc>
      </w:tr>
    </w:tbl>
    <w:p>
      <w:pPr>
        <w:spacing w:before="20" w:after="20"/>
      </w:pPr>
    </w:p>
    <w:p>
      <w:pPr>
        <w:spacing w:after="60"/>
      </w:pPr>
      <w:r>
        <w:rPr>
          <w:rFonts w:ascii="Calibri" w:hAnsi="Calibri"/>
          <w:sz w:val="20"/>
        </w:rPr>
        <w:t xml:space="preserve">Note how every OKR target is anchored to a </w:t>
      </w:r>
      <w:r>
        <w:rPr>
          <w:rFonts w:ascii="Calibri" w:hAnsi="Calibri"/>
          <w:b/>
          <w:sz w:val="20"/>
        </w:rPr>
        <w:t>current baseline from Step 1 data</w:t>
      </w:r>
      <w:r>
        <w:rPr>
          <w:rFonts w:ascii="Calibri" w:hAnsi="Calibri"/>
          <w:sz w:val="20"/>
        </w:rPr>
        <w:t xml:space="preserve"> and a </w:t>
      </w:r>
      <w:r>
        <w:rPr>
          <w:rFonts w:ascii="Calibri" w:hAnsi="Calibri"/>
          <w:b/>
          <w:sz w:val="20"/>
        </w:rPr>
        <w:t>target derived from competitor benchmarks</w:t>
      </w:r>
      <w:r>
        <w:rPr>
          <w:rFonts w:ascii="Calibri" w:hAnsi="Calibri"/>
          <w:sz w:val="20"/>
        </w:rPr>
        <w:t xml:space="preserve"> — not arbitrary "improve by 20%" goals. This is what data-driven target setting looks like.</w:t>
      </w:r>
    </w:p>
    <w:p>
      <w:pPr>
        <w:pStyle w:val="Heading1"/>
      </w:pPr>
      <w:r>
        <w:t>The Breakthrough: Unbroken Strategy-to-Sprint Traceability</w:t>
      </w:r>
    </w:p>
    <w:p>
      <w:pPr>
        <w:spacing w:after="60"/>
      </w:pPr>
      <w:r>
        <w:rPr>
          <w:rFonts w:ascii="Calibri" w:hAnsi="Calibri"/>
          <w:sz w:val="20"/>
        </w:rPr>
        <w:t>The most common failure in transformation is the gap between strategy and execution. PowerPoint decks don’t connect to Jira backlogs. BTA eliminates this entirely. Every feature traces through an unbroken chain back to a board-level objective. When a CEO asks "why are we building this?", the answer is one click away — not buried in a six-month-old deck nobody can find. Here is one thread from the US Bancorp plan:</w:t>
      </w:r>
    </w:p>
    <w:tbl>
      <w:tblPr>
        <w:tblW w:type="auto" w:w="0"/>
        <w:jc w:val="center"/>
        <w:tblLook w:firstColumn="1" w:firstRow="1" w:lastColumn="0" w:lastRow="0" w:noHBand="0" w:noVBand="1" w:val="04A0"/>
      </w:tblPr>
      <w:tblGrid>
        <w:gridCol w:w="4816"/>
        <w:gridCol w:w="4816"/>
      </w:tblGrid>
      <w:tr>
        <w:tc>
          <w:tcPr>
            <w:tcW w:type="dxa" w:w="1814"/>
            <w:shd w:fill="003366"/>
          </w:tcPr>
          <w:p>
            <w:pPr>
              <w:spacing w:after="20" w:before="20"/>
              <w:jc w:val="center"/>
            </w:pPr>
            <w:r/>
            <w:r>
              <w:rPr>
                <w:rFonts w:ascii="Calibri" w:hAnsi="Calibri"/>
                <w:b/>
                <w:color w:val="FFFFFF"/>
                <w:sz w:val="15"/>
              </w:rPr>
              <w:t>STRATEGY</w:t>
            </w:r>
          </w:p>
        </w:tc>
        <w:tc>
          <w:tcPr>
            <w:tcW w:type="dxa" w:w="4816"/>
            <w:tcBorders>
              <w:top w:val="single" w:sz="4" w:space="0" w:color="DDDDDD"/>
              <w:bottom w:val="single" w:sz="4" w:space="0" w:color="DDDDDD"/>
              <w:left w:val="single" w:sz="4" w:space="0" w:color="DDDDDD"/>
              <w:right w:val="single" w:sz="4" w:space="0" w:color="DDDDDD"/>
            </w:tcBorders>
          </w:tcPr>
          <w:p>
            <w:pPr>
              <w:spacing w:after="20" w:before="20"/>
            </w:pPr>
            <w:r/>
            <w:r>
              <w:rPr>
                <w:rFonts w:ascii="Calibri" w:hAnsi="Calibri"/>
                <w:sz w:val="17"/>
              </w:rPr>
              <w:t>AI-First Operations Transformation (Digital Layer)</w:t>
            </w:r>
          </w:p>
        </w:tc>
      </w:tr>
      <w:tr>
        <w:tc>
          <w:tcPr>
            <w:tcW w:type="dxa" w:w="1814"/>
            <w:shd w:fill="0066B2"/>
          </w:tcPr>
          <w:p>
            <w:pPr>
              <w:spacing w:after="20" w:before="20"/>
              <w:jc w:val="center"/>
            </w:pPr>
            <w:r/>
            <w:r>
              <w:rPr>
                <w:rFonts w:ascii="Calibri" w:hAnsi="Calibri"/>
                <w:b/>
                <w:color w:val="FFFFFF"/>
                <w:sz w:val="15"/>
              </w:rPr>
              <w:t>STRATEGIC OKR</w:t>
            </w:r>
          </w:p>
        </w:tc>
        <w:tc>
          <w:tcPr>
            <w:tcW w:type="dxa" w:w="4816"/>
            <w:tcBorders>
              <w:top w:val="single" w:sz="4" w:space="0" w:color="DDDDDD"/>
              <w:bottom w:val="single" w:sz="4" w:space="0" w:color="DDDDDD"/>
              <w:left w:val="single" w:sz="4" w:space="0" w:color="DDDDDD"/>
              <w:right w:val="single" w:sz="4" w:space="0" w:color="DDDDDD"/>
            </w:tcBorders>
          </w:tcPr>
          <w:p>
            <w:pPr>
              <w:spacing w:after="20" w:before="20"/>
            </w:pPr>
            <w:r/>
            <w:r>
              <w:rPr>
                <w:rFonts w:ascii="Calibri" w:hAnsi="Calibri"/>
                <w:sz w:val="17"/>
              </w:rPr>
              <w:t>Reduce efficiency ratio from 61.2% to 55%</w:t>
            </w:r>
          </w:p>
        </w:tc>
      </w:tr>
      <w:tr>
        <w:tc>
          <w:tcPr>
            <w:tcW w:type="dxa" w:w="1814"/>
            <w:shd w:fill="2E7D32"/>
          </w:tcPr>
          <w:p>
            <w:pPr>
              <w:spacing w:after="20" w:before="20"/>
              <w:jc w:val="center"/>
            </w:pPr>
            <w:r/>
            <w:r>
              <w:rPr>
                <w:rFonts w:ascii="Calibri" w:hAnsi="Calibri"/>
                <w:b/>
                <w:color w:val="FFFFFF"/>
                <w:sz w:val="15"/>
              </w:rPr>
              <w:t>INITIATIVE</w:t>
            </w:r>
          </w:p>
        </w:tc>
        <w:tc>
          <w:tcPr>
            <w:tcW w:type="dxa" w:w="4816"/>
            <w:tcBorders>
              <w:top w:val="single" w:sz="4" w:space="0" w:color="DDDDDD"/>
              <w:bottom w:val="single" w:sz="4" w:space="0" w:color="DDDDDD"/>
              <w:left w:val="single" w:sz="4" w:space="0" w:color="DDDDDD"/>
              <w:right w:val="single" w:sz="4" w:space="0" w:color="DDDDDD"/>
            </w:tcBorders>
          </w:tcPr>
          <w:p>
            <w:pPr>
              <w:spacing w:after="20" w:before="20"/>
            </w:pPr>
            <w:r/>
            <w:r>
              <w:rPr>
                <w:rFonts w:ascii="Calibri" w:hAnsi="Calibri"/>
                <w:sz w:val="17"/>
              </w:rPr>
              <w:t>AI Mortgage Auto-Decisioning — RICE: Reach 100K, Impact 3, Confidence 0.8</w:t>
            </w:r>
          </w:p>
        </w:tc>
      </w:tr>
      <w:tr>
        <w:tc>
          <w:tcPr>
            <w:tcW w:type="dxa" w:w="1814"/>
            <w:shd w:fill="5D4037"/>
          </w:tcPr>
          <w:p>
            <w:pPr>
              <w:spacing w:after="20" w:before="20"/>
              <w:jc w:val="center"/>
            </w:pPr>
            <w:r/>
            <w:r>
              <w:rPr>
                <w:rFonts w:ascii="Calibri" w:hAnsi="Calibri"/>
                <w:b/>
                <w:color w:val="FFFFFF"/>
                <w:sz w:val="15"/>
              </w:rPr>
              <w:t>EPIC</w:t>
            </w:r>
          </w:p>
        </w:tc>
        <w:tc>
          <w:tcPr>
            <w:tcW w:type="dxa" w:w="4816"/>
            <w:tcBorders>
              <w:top w:val="single" w:sz="4" w:space="0" w:color="DDDDDD"/>
              <w:bottom w:val="single" w:sz="4" w:space="0" w:color="DDDDDD"/>
              <w:left w:val="single" w:sz="4" w:space="0" w:color="DDDDDD"/>
              <w:right w:val="single" w:sz="4" w:space="0" w:color="DDDDDD"/>
            </w:tcBorders>
          </w:tcPr>
          <w:p>
            <w:pPr>
              <w:spacing w:after="20" w:before="20"/>
            </w:pPr>
            <w:r/>
            <w:r>
              <w:rPr>
                <w:rFonts w:ascii="Calibri" w:hAnsi="Calibri"/>
                <w:sz w:val="17"/>
              </w:rPr>
              <w:t>Mortgage ML Decisioning Model → Credit &amp; Lending Tech team (20 capacity)</w:t>
            </w:r>
          </w:p>
        </w:tc>
      </w:tr>
      <w:tr>
        <w:tc>
          <w:tcPr>
            <w:tcW w:type="dxa" w:w="1814"/>
            <w:shd w:fill="880E4F"/>
          </w:tcPr>
          <w:p>
            <w:pPr>
              <w:spacing w:after="20" w:before="20"/>
              <w:jc w:val="center"/>
            </w:pPr>
            <w:r/>
            <w:r>
              <w:rPr>
                <w:rFonts w:ascii="Calibri" w:hAnsi="Calibri"/>
                <w:b/>
                <w:color w:val="FFFFFF"/>
                <w:sz w:val="15"/>
              </w:rPr>
              <w:t>FEATURE</w:t>
            </w:r>
          </w:p>
        </w:tc>
        <w:tc>
          <w:tcPr>
            <w:tcW w:type="dxa" w:w="4816"/>
            <w:tcBorders>
              <w:top w:val="single" w:sz="4" w:space="0" w:color="DDDDDD"/>
              <w:bottom w:val="single" w:sz="4" w:space="0" w:color="DDDDDD"/>
              <w:left w:val="single" w:sz="4" w:space="0" w:color="DDDDDD"/>
              <w:right w:val="single" w:sz="4" w:space="0" w:color="DDDDDD"/>
            </w:tcBorders>
          </w:tcPr>
          <w:p>
            <w:pPr>
              <w:spacing w:after="20" w:before="20"/>
            </w:pPr>
            <w:r/>
            <w:r>
              <w:rPr>
                <w:rFonts w:ascii="Calibri" w:hAnsi="Calibri"/>
                <w:sz w:val="17"/>
              </w:rPr>
              <w:t>Fair Lending Model Validation (18 story points, Critical priority)</w:t>
            </w:r>
          </w:p>
        </w:tc>
      </w:tr>
      <w:tr>
        <w:tc>
          <w:tcPr>
            <w:tcW w:type="dxa" w:w="1814"/>
            <w:shd w:fill="4A148C"/>
          </w:tcPr>
          <w:p>
            <w:pPr>
              <w:spacing w:after="20" w:before="20"/>
              <w:jc w:val="center"/>
            </w:pPr>
            <w:r/>
            <w:r>
              <w:rPr>
                <w:rFonts w:ascii="Calibri" w:hAnsi="Calibri"/>
                <w:b/>
                <w:color w:val="FFFFFF"/>
                <w:sz w:val="15"/>
              </w:rPr>
              <w:t>ACCEPTANCE</w:t>
            </w:r>
          </w:p>
        </w:tc>
        <w:tc>
          <w:tcPr>
            <w:tcW w:type="dxa" w:w="4816"/>
            <w:tcBorders>
              <w:top w:val="single" w:sz="4" w:space="0" w:color="DDDDDD"/>
              <w:bottom w:val="single" w:sz="4" w:space="0" w:color="DDDDDD"/>
              <w:left w:val="single" w:sz="4" w:space="0" w:color="DDDDDD"/>
              <w:right w:val="single" w:sz="4" w:space="0" w:color="DDDDDD"/>
            </w:tcBorders>
          </w:tcPr>
          <w:p>
            <w:pPr>
              <w:spacing w:after="20" w:before="20"/>
            </w:pPr>
            <w:r/>
            <w:r>
              <w:rPr>
                <w:rFonts w:ascii="Calibri" w:hAnsi="Calibri"/>
                <w:sz w:val="17"/>
              </w:rPr>
              <w:t>No disparate impact across race, gender, age. OCC model risk review passed.</w:t>
            </w:r>
          </w:p>
        </w:tc>
      </w:tr>
    </w:tbl>
    <w:p>
      <w:pPr>
        <w:spacing w:after="40"/>
      </w:pPr>
    </w:p>
    <w:p>
      <w:pPr>
        <w:spacing w:after="60"/>
      </w:pPr>
      <w:r>
        <w:rPr>
          <w:rFonts w:ascii="Calibri" w:hAnsi="Calibri"/>
          <w:sz w:val="20"/>
        </w:rPr>
        <w:t xml:space="preserve">This chain exists for </w:t>
      </w:r>
      <w:r>
        <w:rPr>
          <w:rFonts w:ascii="Calibri" w:hAnsi="Calibri"/>
          <w:b/>
          <w:sz w:val="20"/>
        </w:rPr>
        <w:t>every one of the 15 features</w:t>
      </w:r>
      <w:r>
        <w:rPr>
          <w:rFonts w:ascii="Calibri" w:hAnsi="Calibri"/>
          <w:sz w:val="20"/>
        </w:rPr>
        <w:t xml:space="preserve"> in the backlog. Traditional consulting produces none of this traceability.</w:t>
      </w:r>
    </w:p>
    <w:p>
      <w:r>
        <w:br w:type="page"/>
      </w:r>
    </w:p>
    <w:p>
      <w:pPr>
        <w:pStyle w:val="Heading1"/>
      </w:pPr>
      <w:r>
        <w:t>The Numbers: Traditional Consulting vs. BTA</w:t>
      </w:r>
    </w:p>
    <w:p>
      <w:pPr>
        <w:spacing w:after="60"/>
      </w:pPr>
      <w:r>
        <w:rPr>
          <w:rFonts w:ascii="Calibri" w:hAnsi="Calibri"/>
          <w:sz w:val="20"/>
        </w:rPr>
        <w:t>The following comparisons reflect industry benchmarks for traditional consulting engagements versus measured outputs from the US Bancorp run. These are not theoretical projections — they are actuals from a completed pipeline execution.</w:t>
      </w:r>
    </w:p>
    <w:p>
      <w:pPr>
        <w:pStyle w:val="Heading2"/>
      </w:pPr>
      <w:r>
        <w:t>Time: 5-10 Months Compressed to 5 Minutes</w:t>
      </w:r>
    </w:p>
    <w:p>
      <w:pPr>
        <w:spacing w:after="60"/>
      </w:pPr>
      <w:r>
        <w:rPr>
          <w:rFonts w:ascii="Calibri" w:hAnsi="Calibri"/>
          <w:sz w:val="20"/>
        </w:rPr>
        <w:t>Each phase of traditional transformation depends on workshop scheduling, stakeholder availability, and sequential manual analysis. BTA automates all analytical work. The total elapsed time for the complete US Bancorp transformation plan was under 5 minutes:</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Phase</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Traditional</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BTA</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Saved</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Market &amp; Financial Analysis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2-4 weeks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30 seconds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99.7%</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Value Stream Mapping</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4-8 weeks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5-10 minutes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99.5%</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SWOT &amp; TOWS Analysis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1-2 weeks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90 seconds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99.2%</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Strategy &amp; OKR Definition</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4-12 weeks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60 seconds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99.6%</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Initiative Prioritization</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2-4 weeks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60 seconds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99.4%</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Epic Decomposition &amp; Teams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2-4 weeks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90 seconds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99.3%</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Feature Backlog Creation</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4-8 weeks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45 seconds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99.5%</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TOTAL END-TO-END</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5-10 MONTHS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~5 MINUTES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~99.9%</w:t>
            </w:r>
          </w:p>
        </w:tc>
      </w:tr>
    </w:tbl>
    <w:p>
      <w:pPr>
        <w:spacing w:before="20" w:after="20"/>
      </w:pPr>
    </w:p>
    <w:p>
      <w:pPr>
        <w:pStyle w:val="Heading2"/>
      </w:pPr>
      <w:r>
        <w:t>Cost: Six-Figure Engagements Reduced to Cents</w:t>
      </w:r>
    </w:p>
    <w:p>
      <w:pPr>
        <w:spacing w:after="60"/>
      </w:pPr>
      <w:r>
        <w:rPr>
          <w:rFonts w:ascii="Calibri" w:hAnsi="Calibri"/>
          <w:sz w:val="20"/>
        </w:rPr>
        <w:t xml:space="preserve">Traditional consulting fees range from $10K to $200K per phase. BTA replaces these with AI inference costs measured in cents. At </w:t>
      </w:r>
      <w:r>
        <w:rPr>
          <w:rFonts w:ascii="Calibri" w:hAnsi="Calibri"/>
          <w:b/>
          <w:sz w:val="20"/>
        </w:rPr>
        <w:t>under $0.25 per full run</w:t>
      </w:r>
      <w:r>
        <w:rPr>
          <w:rFonts w:ascii="Calibri" w:hAnsi="Calibri"/>
          <w:sz w:val="20"/>
        </w:rPr>
        <w:t>, a bank can re-analyze its entire transformation after every earnings cycle, regulatory change, or competitive move — turning transformation from a periodic event into a continuous capability:</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Phase</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Traditional Cost</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BTA Cost</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Savings</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Market Analysis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$15K-50K</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$0.01-0.02</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99.99%</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Value Stream Mapping</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$20K-80K</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$0.02-0.05</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99.99%</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SWOT Facilitation</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$10K-30K</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$0.01-0.02</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99.99%</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Strategy Consulting</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$50K-200K</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$0.02-0.05</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99.99%</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Product Strategy</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$15K-40K</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$0.01-0.03</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99.99%</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Agile Transformation</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$20K-60K</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$0.02-0.04</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99.99%</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Backlog Creation</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$30K-80K</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$0.01-0.03</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99.99%</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TOTAL</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$160K-540K</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$0.10-0.24</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~99.99%</w:t>
            </w:r>
          </w:p>
        </w:tc>
      </w:tr>
    </w:tbl>
    <w:p>
      <w:pPr>
        <w:spacing w:before="20" w:after="20"/>
      </w:pPr>
    </w:p>
    <w:p>
      <w:pPr>
        <w:pStyle w:val="Heading2"/>
      </w:pPr>
      <w:r>
        <w:t>Stakeholder Time: Hundreds of Hours Freed</w:t>
      </w:r>
    </w:p>
    <w:p>
      <w:pPr>
        <w:spacing w:after="60"/>
      </w:pPr>
      <w:r>
        <w:rPr>
          <w:rFonts w:ascii="Calibri" w:hAnsi="Calibri"/>
          <w:sz w:val="20"/>
        </w:rPr>
        <w:t xml:space="preserve">The hidden cost of traditional transformation is senior leadership time — executives, product leaders, and engineering managers locked in workshops and interviews for weeks. BTA eliminates all workshop facilitation and reduces leadership involvement to focused 1-2 hour review sessions per step, </w:t>
      </w:r>
      <w:r>
        <w:rPr>
          <w:rFonts w:ascii="Calibri" w:hAnsi="Calibri"/>
          <w:b/>
          <w:sz w:val="20"/>
        </w:rPr>
        <w:t>freeing 192-392 hours</w:t>
      </w:r>
      <w:r>
        <w:rPr>
          <w:rFonts w:ascii="Calibri" w:hAnsi="Calibri"/>
          <w:sz w:val="20"/>
        </w:rPr>
        <w:t xml:space="preserve"> for actual execution:</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Activity</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Traditional</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BTA</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Saved</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Workshops &amp; interviews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60-120 hrs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0 hrs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60-120 hrs</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Executive strategy sessions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16-40 hrs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1-2 hrs (review)</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15-38 hrs</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Story writing &amp; refinement</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80-160 hrs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2-4 hrs (review)</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78-156 hrs</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PI planning / story mapping</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40-80 hrs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1-2 hrs (review)</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39-78 hrs</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TOTAL</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196-400 hrs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4-8 hrs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192-392 hrs</w:t>
            </w:r>
          </w:p>
        </w:tc>
      </w:tr>
    </w:tbl>
    <w:p>
      <w:pPr>
        <w:spacing w:before="20" w:after="20"/>
      </w:pPr>
    </w:p>
    <w:p>
      <w:r>
        <w:br w:type="page"/>
      </w:r>
    </w:p>
    <w:p>
      <w:pPr>
        <w:pStyle w:val="Heading1"/>
      </w:pPr>
      <w:r>
        <w:t>Six Ways BTA Is Fundamentally Different</w:t>
      </w:r>
    </w:p>
    <w:p>
      <w:pPr>
        <w:spacing w:after="60"/>
      </w:pPr>
      <w:r>
        <w:rPr>
          <w:rFonts w:ascii="Calibri" w:hAnsi="Calibri"/>
          <w:sz w:val="20"/>
        </w:rPr>
        <w:t>BTA is not a faster version of the same consulting playbook. It replaces opinion with evidence, politics with formulas, and one-off engagements with continuous capability. In traditional workshops, SWOT entries reflect whoever speaks loudest. OKR targets are "let’s aim for 20% improvement" without baseline data. Priorities are set by executive preference. And when conditions change, re-engaging costs $50K+ and takes weeks. BTA inverts every one of these dynamics:</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Differentiator</w:t>
            </w:r>
          </w:p>
        </w:tc>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Traditional Consulting</w:t>
            </w:r>
          </w:p>
        </w:tc>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BTA Platform</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Analysis Method</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Opinion-based (post-its, groupthink, HiPPO effect)</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Every entry cites financial metrics, benchmarks, process data</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Strategy Scope</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1-2 layers (business + maybe digital)</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Always 4 layers: Business + Digital + Data + Gen AI</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Prioritization</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Subjective (executive preference, dot voting)</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Quantitative RICE: Reach × Impact × Confidence / Effort</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OKR Cascade</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Strategic only (teams lack linked goals)</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3-tier: Strategic → Product → Delivery OKRs</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Traceability</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PowerPoint → ??? → Jira (gap)</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Strategy → OKR → Initiative → Epic → Feature → Acceptance</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Re-Run Cost</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$50K+ new engagement (weeks)</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$0.05 to regenerate (minutes)</w:t>
            </w:r>
          </w:p>
        </w:tc>
      </w:tr>
    </w:tbl>
    <w:p>
      <w:pPr>
        <w:spacing w:before="20" w:after="20"/>
      </w:pPr>
    </w:p>
    <w:p>
      <w:pPr>
        <w:pStyle w:val="Heading1"/>
      </w:pPr>
      <w:r>
        <w:t>Human-in-the-Loop: AI Accelerates, Humans Govern</w:t>
      </w:r>
    </w:p>
    <w:p>
      <w:pPr>
        <w:spacing w:after="60"/>
      </w:pPr>
      <w:r>
        <w:rPr>
          <w:rFonts w:ascii="Calibri" w:hAnsi="Calibri"/>
          <w:sz w:val="20"/>
        </w:rPr>
        <w:t xml:space="preserve">In banking, AI cannot make autonomous strategy decisions. Regulators (OCC, Fed, FDIC) expect human accountability for every material decision, and model risk management frameworks require documented oversight. BTA addresses this with </w:t>
      </w:r>
      <w:r>
        <w:rPr>
          <w:rFonts w:ascii="Calibri" w:hAnsi="Calibri"/>
          <w:b/>
          <w:sz w:val="20"/>
        </w:rPr>
        <w:t>7 mandatory review gates</w:t>
      </w:r>
      <w:r>
        <w:rPr>
          <w:rFonts w:ascii="Calibri" w:hAnsi="Calibri"/>
          <w:sz w:val="20"/>
        </w:rPr>
        <w:t xml:space="preserve"> — one after each pipeline step. A designated senior leader must approve the AI’s outputs before they flow downstream. Every approval and modification is logged, creating an audit trail for regulatory examination. The platform’s value proposition is acceleration, not replacement: AI compresses months of analysis into minutes; humans retain full authority over direction.</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Gate</w:t>
            </w:r>
          </w:p>
        </w:tc>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Reviewer</w:t>
            </w:r>
          </w:p>
        </w:tc>
        <w:tc>
          <w:tcPr>
            <w:tcW w:type="dxa" w:w="3211"/>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What They Validate</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Step 1: Financial Data</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CFO Office</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KPIs match internal reporting and 10-K filings</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Step 2: Value Streams</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COO</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Process maps and bottleneck identification accurate</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Step 3: SWOT/TOWS</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Chief Strategy Officer</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Analysis reflects organizational reality, not AI hallucination</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Step 4: Strategy &amp; OKRs</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CEO</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Direction aligns with board objectives and risk appetite</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Step 5: Initiatives</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CTO</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RICE scores reasonable; priorities reflect technical feasibility</w:t>
            </w:r>
          </w:p>
        </w:tc>
      </w:tr>
      <w:tr>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Step 6: Epics &amp; Teams</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VP Engineering</w:t>
            </w:r>
          </w:p>
        </w:tc>
        <w:tc>
          <w:tcPr>
            <w:tcW w:type="dxa" w:w="3211"/>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Capacity realistic; dependencies correctly mapped</w:t>
            </w:r>
          </w:p>
        </w:tc>
      </w:tr>
      <w:tr>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Step 7: Feature Backlog</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Product Council</w:t>
            </w:r>
          </w:p>
        </w:tc>
        <w:tc>
          <w:tcPr>
            <w:tcW w:type="dxa" w:w="3211"/>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Features sprint-ready; acceptance criteria testable</w:t>
            </w:r>
          </w:p>
        </w:tc>
      </w:tr>
    </w:tbl>
    <w:p>
      <w:pPr>
        <w:spacing w:before="20" w:after="20"/>
      </w:pPr>
    </w:p>
    <w:p>
      <w:r>
        <w:br w:type="page"/>
      </w:r>
    </w:p>
    <w:p>
      <w:pPr>
        <w:pStyle w:val="Heading1"/>
      </w:pPr>
      <w:r>
        <w:t>What This Means for the Banking Industry</w:t>
      </w:r>
    </w:p>
    <w:p>
      <w:pPr>
        <w:spacing w:after="60"/>
      </w:pPr>
      <w:r>
        <w:rPr>
          <w:rFonts w:ascii="Calibri" w:hAnsi="Calibri"/>
          <w:sz w:val="20"/>
        </w:rPr>
        <w:t>When the cost and time barriers to transformation planning collapse by 99%+, the implications go beyond efficiency. The entire competitive dynamic of how banks plan, adapt, and execute shifts:</w:t>
      </w:r>
    </w:p>
    <w:p>
      <w:pPr>
        <w:pStyle w:val="ListBullet"/>
        <w:spacing w:after="20" w:before="20"/>
      </w:pPr>
      <w:r>
        <w:rPr>
          <w:rFonts w:ascii="Calibri" w:hAnsi="Calibri"/>
          <w:b/>
          <w:sz w:val="19"/>
        </w:rPr>
        <w:t xml:space="preserve">Democratized Strategy: </w:t>
      </w:r>
      <w:r>
        <w:rPr>
          <w:rFonts w:ascii="Calibri" w:hAnsi="Calibri"/>
          <w:sz w:val="19"/>
        </w:rPr>
        <w:t>A **$10B community bank** facing the same fintech pressures as JPMorgan can now generate the same depth of strategic analysis — 4-layer strategy, RICE-scored initiatives, sprint-ready backlogs — without a six-figure consulting engagement. Strategy consulting is democratized.</w:t>
      </w:r>
    </w:p>
    <w:p>
      <w:pPr>
        <w:pStyle w:val="ListBullet"/>
        <w:spacing w:after="20" w:before="20"/>
      </w:pPr>
      <w:r>
        <w:rPr>
          <w:rFonts w:ascii="Calibri" w:hAnsi="Calibri"/>
          <w:b/>
          <w:sz w:val="19"/>
        </w:rPr>
        <w:t xml:space="preserve">Continuous Transformation: </w:t>
      </w:r>
      <w:r>
        <w:rPr>
          <w:rFonts w:ascii="Calibri" w:hAnsi="Calibri"/>
          <w:sz w:val="19"/>
        </w:rPr>
        <w:t>At $0.05 per run, strategy refreshes become **weekly instead of annual**. Banks can re-analyze after every earnings cycle, rate change, or competitive move — pivoting in days, not quarters. Transformation becomes a continuous muscle, not a periodic event.</w:t>
      </w:r>
    </w:p>
    <w:p>
      <w:pPr>
        <w:pStyle w:val="ListBullet"/>
        <w:spacing w:after="20" w:before="20"/>
      </w:pPr>
      <w:r>
        <w:rPr>
          <w:rFonts w:ascii="Calibri" w:hAnsi="Calibri"/>
          <w:b/>
          <w:sz w:val="19"/>
        </w:rPr>
        <w:t xml:space="preserve">Speed as Competitive Moat: </w:t>
      </w:r>
      <w:r>
        <w:rPr>
          <w:rFonts w:ascii="Calibri" w:hAnsi="Calibri"/>
          <w:sz w:val="19"/>
        </w:rPr>
        <w:t>The bank that identifies a gap and translates it to an engineering backlog in 5 minutes has a **structural speed advantage** over one that takes 5 months. This compounds with every strategy cycle.</w:t>
      </w:r>
    </w:p>
    <w:p>
      <w:pPr>
        <w:pStyle w:val="ListBullet"/>
        <w:spacing w:after="20" w:before="20"/>
      </w:pPr>
      <w:r>
        <w:rPr>
          <w:rFonts w:ascii="Calibri" w:hAnsi="Calibri"/>
          <w:b/>
          <w:sz w:val="19"/>
        </w:rPr>
        <w:t xml:space="preserve">Execution Is the New Strategy: </w:t>
      </w:r>
      <w:r>
        <w:rPr>
          <w:rFonts w:ascii="Calibri" w:hAnsi="Calibri"/>
          <w:sz w:val="19"/>
        </w:rPr>
        <w:t>When AI commoditizes the planning process, the advantage shifts from "who has the best consultants" to **"who executes fastest."** Planning parity means execution quality becomes the only differentiator.</w:t>
      </w:r>
    </w:p>
    <w:p>
      <w:pPr>
        <w:pStyle w:val="Heading1"/>
      </w:pPr>
      <w:r>
        <w:t>Complete Output: 200+ Artifacts from a Single Run</w:t>
      </w:r>
    </w:p>
    <w:p>
      <w:pPr>
        <w:spacing w:after="60"/>
      </w:pPr>
      <w:r>
        <w:rPr>
          <w:rFonts w:ascii="Calibri" w:hAnsi="Calibri"/>
          <w:sz w:val="20"/>
        </w:rPr>
        <w:t>From one input (company name + industry), BTA produces a complete, interconnected transformation plan where every artifact traces to its data source and forward to downstream deliverables:</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Category</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Volume</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Category</w:t>
            </w:r>
          </w:p>
        </w:tc>
        <w:tc>
          <w:tcPr>
            <w:tcW w:type="dxa" w:w="2408"/>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6"/>
              </w:rPr>
              <w:t>Volume</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Financial KPIs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20+ metrics (auto-ingested)</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Strategies (4 layers)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 with risk levels</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Competitor profiles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3 with full financials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Strategic OKRs + KRs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 OKRs, 13 key results</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Value streams &amp; steps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4 streams, 17 process steps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RICE-scored initiatives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8 (6 Phase 1, 2 Phase 2)</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SWOT entries (scored)</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16 with severity/confidence</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Cross-functional teams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 teams (143 capacity)</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TOWS strategic actions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6 with impact scores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Epics + dependencies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8 epics, 3 dependencies</w:t>
            </w:r>
          </w:p>
        </w:tc>
      </w:tr>
      <w:tr>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Digital products &amp; groups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6 products in 4 groups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Sprint-ready features</w:t>
            </w:r>
          </w:p>
        </w:tc>
        <w:tc>
          <w:tcPr>
            <w:tcW w:type="dxa" w:w="2408"/>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6"/>
              </w:rPr>
              <w:t>15 with acceptance criteria</w:t>
            </w:r>
          </w:p>
        </w:tc>
      </w:tr>
      <w:tr>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Review gates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7 checkpoints (logged)</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Delivery OKRs</w:t>
            </w:r>
          </w:p>
        </w:tc>
        <w:tc>
          <w:tcPr>
            <w:tcW w:type="dxa" w:w="2408"/>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6"/>
              </w:rPr>
              <w:t>4 team-level sprint goals</w:t>
            </w:r>
          </w:p>
        </w:tc>
      </w:tr>
    </w:tbl>
    <w:p>
      <w:pPr>
        <w:spacing w:before="20" w:after="20"/>
      </w:pPr>
    </w:p>
    <w:p>
      <w:pPr>
        <w:spacing w:before="240" w:after="80"/>
        <w:jc w:val="center"/>
      </w:pPr>
      <w:r>
        <w:rPr>
          <w:rFonts w:ascii="Calibri" w:hAnsi="Calibri"/>
          <w:b/>
          <w:color w:val="003366"/>
          <w:sz w:val="26"/>
        </w:rPr>
        <w:t>The future of transformation planning is not months. It is minutes.</w:t>
      </w:r>
    </w:p>
    <w:p>
      <w:pPr>
        <w:jc w:val="center"/>
      </w:pPr>
      <w:r>
        <w:rPr>
          <w:rFonts w:ascii="Calibri" w:hAnsi="Calibri"/>
          <w:sz w:val="21"/>
        </w:rPr>
        <w:t xml:space="preserve">Explore the platform: </w:t>
      </w:r>
      <w:r>
        <w:rPr>
          <w:rFonts w:ascii="Calibri" w:hAnsi="Calibri"/>
          <w:b/>
          <w:color w:val="0066B2"/>
          <w:sz w:val="21"/>
        </w:rPr>
        <w:t>business-transformation-architect.onrender.com</w:t>
      </w:r>
    </w:p>
    <w:p>
      <w:pPr>
        <w:spacing w:before="320"/>
        <w:jc w:val="center"/>
      </w:pPr>
      <w:r>
        <w:rPr>
          <w:rFonts w:ascii="Calibri" w:hAnsi="Calibri"/>
          <w:i/>
          <w:color w:val="646464"/>
          <w:sz w:val="15"/>
        </w:rPr>
        <w:t>All financial figures are publicly available US Bancorp data. AI-generated recommendations are for demonstration purposes and do not constitute investment or business advice.</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3366"/>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003366"/>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0033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