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Strategy to Sprint in 5 Minutes: How AI Multi-Agent Orchestration is Redefining Business Transformation in Banking</w:t>
      </w:r>
    </w:p>
    <w:p>
      <w:pPr/>
      <w:r/>
      <w:r>
        <w:rPr>
          <w:b/>
        </w:rPr>
        <w:t>A Point of View White Paper</w:t>
      </w:r>
      <w:r/>
    </w:p>
    <w:p>
      <w:pPr>
        <w:jc w:val="center"/>
      </w:pPr>
      <w:r>
        <w:rPr>
          <w:i/>
          <w:color w:val="505050"/>
          <w:sz w:val="20"/>
        </w:rPr>
        <w:t>Business Transformation Architect (BTA) Platform</w:t>
      </w:r>
    </w:p>
    <w:p>
      <w:pPr>
        <w:pStyle w:val="Heading1"/>
      </w:pPr>
      <w:r>
        <w:t>1. Executive Summary</w:t>
      </w:r>
    </w:p>
    <w:p>
      <w:pPr/>
      <w:r>
        <w:t>The banking industry invests hundreds of millions of dollars annually in business transformation planning — yet most initiatives fail to bridge the gap between boardroom strategy and engineering sprint backlogs. Traditional transformation cycles consume 5-10 months, cost $160K-540K per engagement, and demand 196-400 hours of senior stakeholder time in workshops, interviews, and alignment sessions. The outputs — PowerPoint decks, Visio diagrams, and spreadsheets — are disconnected, subjective, and rarely traceable from strategic objectives to the feature stories that development teams actually build.</w:t>
      </w:r>
    </w:p>
    <w:p>
      <w:pPr/>
      <w:r>
        <w:t xml:space="preserve">The </w:t>
      </w:r>
      <w:r>
        <w:rPr>
          <w:b/>
        </w:rPr>
        <w:t>Business Transformation Architect (BTA)</w:t>
      </w:r>
      <w:r>
        <w:t xml:space="preserve"> platform eliminates this bottleneck through AI multi-agent orchestration. Thirteen specialized AI agents work sequentially through a 7-step pipeline, each building on the prior agent's verified output. Starting from a company name and industry, the platform auto-ingests real-time financial data, maps value streams, performs evidence-based SWOT analysis, formulates 4-layer strategy, prioritizes initiatives with quantitative RICE scoring, decomposes work into epics and team assignments, and generates sprint-ready feature backlogs with acceptance criteria — all in approximately 5 minutes, at an AI cost of roughly $0.05.</w:t>
      </w:r>
    </w:p>
    <w:p>
      <w:pPr/>
      <w:r>
        <w:t xml:space="preserve">This paper demonstrates the platform's capabilities using a real-world case study: </w:t>
      </w:r>
      <w:r>
        <w:rPr>
          <w:b/>
        </w:rPr>
        <w:t>US Bancorp (NYSE: USB)</w:t>
      </w:r>
      <w:r>
        <w:t xml:space="preserve">, the fifth-largest commercial bank in the United States. We walk through all 7 steps with actual platform-generated outputs — 200+ interconnected artifacts with complete traceability from financial analysis to user stories. The results show a </w:t>
      </w:r>
      <w:r>
        <w:rPr>
          <w:b/>
        </w:rPr>
        <w:t>99.9% reduction in elapsed time</w:t>
      </w:r>
      <w:r>
        <w:t xml:space="preserve">, a </w:t>
      </w:r>
      <w:r>
        <w:rPr>
          <w:b/>
        </w:rPr>
        <w:t>99.99% reduction in cost</w:t>
      </w:r>
      <w:r>
        <w:t>, and a transformation plan that is more comprehensive, more data-driven, and more consistent than what traditional consulting engagements produce.</w:t>
      </w:r>
    </w:p>
    <w:p>
      <w:pPr>
        <w:pStyle w:val="Heading1"/>
      </w:pPr>
      <w:r>
        <w:t>2. The Problem: Why Transformation Planning Fails</w:t>
      </w:r>
    </w:p>
    <w:p>
      <w:pPr>
        <w:pStyle w:val="Heading2"/>
      </w:pPr>
      <w:r>
        <w:t>The Traditional Approach</w:t>
      </w:r>
    </w:p>
    <w:p>
      <w:pPr/>
      <w:r>
        <w:t>Business transformation planning in banking typically follows a well-worn path: hire a management consulting firm, conduct stakeholder interviews, run a series of workshops, and produce strategy documents that cascade into product roadmaps and delivery backlogs. This process is fragmented by design — different teams own different phases, use different tools, and operate on different timelines.</w:t>
      </w:r>
    </w:p>
    <w:p>
      <w:pPr/>
      <w:r>
        <w:t>A typical engagement unfolds over 5-10 months:</w:t>
      </w:r>
    </w:p>
    <w:p>
      <w:pPr>
        <w:pStyle w:val="ListBullet"/>
      </w:pPr>
      <w:r/>
      <w:r>
        <w:rPr>
          <w:b/>
        </w:rPr>
        <w:t>Weeks 1-4:</w:t>
      </w:r>
      <w:r>
        <w:t xml:space="preserve"> Market analysis and financial benchmarking (analyst research, Bloomberg/Refinitiv subscriptions, manual competitor profiling)</w:t>
      </w:r>
    </w:p>
    <w:p>
      <w:pPr>
        <w:pStyle w:val="ListBullet"/>
      </w:pPr>
      <w:r/>
      <w:r>
        <w:rPr>
          <w:b/>
        </w:rPr>
        <w:t>Weeks 4-12:</w:t>
      </w:r>
      <w:r>
        <w:t xml:space="preserve"> Value stream mapping workshops (Gemba walks, stakeholder interviews, Visio diagrams)</w:t>
      </w:r>
    </w:p>
    <w:p>
      <w:pPr>
        <w:pStyle w:val="ListBullet"/>
      </w:pPr>
      <w:r/>
      <w:r>
        <w:rPr>
          <w:b/>
        </w:rPr>
        <w:t>Weeks 8-14:</w:t>
      </w:r>
      <w:r>
        <w:t xml:space="preserve"> SWOT analysis and strategic planning (executive offsites, post-it sessions, strategy retreats)</w:t>
      </w:r>
    </w:p>
    <w:p>
      <w:pPr>
        <w:pStyle w:val="ListBullet"/>
      </w:pPr>
      <w:r/>
      <w:r>
        <w:rPr>
          <w:b/>
        </w:rPr>
        <w:t>Weeks 12-24:</w:t>
      </w:r>
      <w:r>
        <w:t xml:space="preserve"> Initiative definition and prioritization (product council meetings, business case writing)</w:t>
      </w:r>
    </w:p>
    <w:p>
      <w:pPr>
        <w:pStyle w:val="ListBullet"/>
      </w:pPr>
      <w:r/>
      <w:r>
        <w:rPr>
          <w:b/>
        </w:rPr>
        <w:t>Weeks 20-36:</w:t>
      </w:r>
      <w:r>
        <w:t xml:space="preserve"> Epic decomposition, team formation, and backlog creation (PI planning, story mapping workshops, refinement sessions)</w:t>
      </w:r>
    </w:p>
    <w:p>
      <w:pPr/>
      <w:r>
        <w:t xml:space="preserve">The total cost ranges from </w:t>
      </w:r>
      <w:r>
        <w:rPr>
          <w:b/>
        </w:rPr>
        <w:t>$160,000 to $540,000</w:t>
      </w:r>
      <w:r>
        <w:t xml:space="preserve"> in consulting fees alone — before accounting for the </w:t>
      </w:r>
      <w:r>
        <w:rPr>
          <w:b/>
        </w:rPr>
        <w:t>196-400 hours of stakeholder time</w:t>
      </w:r>
      <w:r>
        <w:t xml:space="preserve"> consumed in workshops, interviews, and alignment meetings. Senior executives, product leaders, and engineering managers spend weeks in rooms debating priorities, writing post-it notes, and attempting to align strategy with execution.</w:t>
      </w:r>
    </w:p>
    <w:p>
      <w:pPr>
        <w:pStyle w:val="Heading2"/>
      </w:pPr>
      <w:r>
        <w:t>The Strategy-to-Execution Gap</w:t>
      </w:r>
    </w:p>
    <w:p>
      <w:pPr/>
      <w:r>
        <w:t>The most critical failure point is the handoff between strategy and delivery. Strategy consultants produce compelling PowerPoint decks with high-level recommendations. Product teams translate these into roadmaps using different tools and assumptions. Engineering teams decompose roadmaps into backlogs, often months later, with limited context on the original strategic rationale.</w:t>
      </w:r>
    </w:p>
    <w:p>
      <w:pPr/>
      <w:r>
        <w:t xml:space="preserve">The result: </w:t>
      </w:r>
      <w:r>
        <w:rPr>
          <w:b/>
        </w:rPr>
        <w:t>no traceable link between a board-level strategic objective and the user stories in a team's sprint backlog</w:t>
      </w:r>
      <w:r>
        <w:t>. When priorities shift — as they inevitably do in banking — there is no efficient way to trace the impact upstream or downstream.</w:t>
      </w:r>
    </w:p>
    <w:p>
      <w:pPr>
        <w:pStyle w:val="Heading2"/>
      </w:pPr>
      <w:r>
        <w:t>Banking-Specific Challenges</w:t>
      </w:r>
    </w:p>
    <w:p>
      <w:pPr/>
      <w:r>
        <w:t>Banking compounds these challenges with unique pressures:</w:t>
      </w:r>
    </w:p>
    <w:p>
      <w:pPr>
        <w:pStyle w:val="ListBullet"/>
      </w:pPr>
      <w:r/>
      <w:r>
        <w:rPr>
          <w:b/>
        </w:rPr>
        <w:t>Regulatory complexity:</w:t>
      </w:r>
      <w:r>
        <w:t xml:space="preserve"> OCC, Fed, FDIC, and CFPB requirements create compliance overhead in every transformation decision. Fair lending, BSA/AML, and model risk management add layers of scrutiny that general-purpose consulting frameworks do not address.</w:t>
      </w:r>
    </w:p>
    <w:p>
      <w:pPr>
        <w:pStyle w:val="ListBullet"/>
      </w:pPr>
      <w:r/>
      <w:r>
        <w:rPr>
          <w:b/>
        </w:rPr>
        <w:t>Legacy system constraints:</w:t>
      </w:r>
      <w:r>
        <w:t xml:space="preserve"> Core banking platforms, payment networks, and risk systems impose integration complexity that extends every initiative timeline.</w:t>
      </w:r>
    </w:p>
    <w:p>
      <w:pPr>
        <w:pStyle w:val="ListBullet"/>
      </w:pPr>
      <w:r/>
      <w:r>
        <w:rPr>
          <w:b/>
        </w:rPr>
        <w:t>Fintech competitive pressure:</w:t>
      </w:r>
      <w:r>
        <w:t xml:space="preserve"> Neobanks like Chime and SoFi acquire customers with digital-first experiences at a fraction of the cost, compressing the time available for incumbents to respond.</w:t>
      </w:r>
    </w:p>
    <w:p>
      <w:pPr>
        <w:pStyle w:val="ListBullet"/>
      </w:pPr>
      <w:r/>
      <w:r>
        <w:rPr>
          <w:b/>
        </w:rPr>
        <w:t>Capital constraints:</w:t>
      </w:r>
      <w:r>
        <w:t xml:space="preserve"> Basel III endgame requirements limit banks' ability to invest freely, making precise prioritization of transformation investments critical.</w:t>
      </w:r>
    </w:p>
    <w:p>
      <w:pPr/>
      <w:r>
        <w:t>The cost of delay is significant. Every month of additional planning represents competitive ground lost to faster-moving competitors.</w:t>
      </w:r>
    </w:p>
    <w:p>
      <w:pPr>
        <w:pStyle w:val="Heading1"/>
      </w:pPr>
      <w:r>
        <w:t>3. The Solution: AI Multi-Agent Orchestration</w:t>
      </w:r>
    </w:p>
    <w:p>
      <w:pPr/>
      <w:r>
        <w:t>The BTA platform replaces the sequential, manual, workshop-driven approach with an AI-powered pipeline of 13 specialized agents operating across 7 steps. Each agent is purpose-built for its domain — financial analysis, value stream mapping, strategic planning, initiative scoring, epic decomposition, or feature definition — and receives the complete context of all upstream agents' validated outputs.</w:t>
      </w:r>
    </w:p>
    <w:p>
      <w:pPr/>
      <w:r/>
      <w:r>
        <w:rPr>
          <w:b/>
        </w:rPr>
        <w:t>The 7-Step Pipeline:</w:t>
      </w:r>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Step</w:t>
            </w:r>
          </w:p>
        </w:tc>
        <w:tc>
          <w:tcPr>
            <w:tcW w:type="dxa" w:w="312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Agent Function</w:t>
            </w:r>
          </w:p>
        </w:tc>
        <w:tc>
          <w:tcPr>
            <w:tcW w:type="dxa" w:w="312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Key Outputs</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1</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Business Performance Analysis</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20+ financial KPIs, competitor profiles, revenue segmentation</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2</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Value Stream Mapping</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Process steps, bottleneck identification, improvement levers</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3</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SWOT-to-TOWS Action Engine</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Evidence-based SWOT entries, prioritized TOWS strategic actions</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4</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Strategy Formulation &amp; OKRs</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4-layer strategies, strategic OKRs with data-anchored key results</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5</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Initiative Prioritization</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RICE-scored initiatives, digital products, roadmap phasing</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6</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Epic Decomposition &amp; Teams</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Team formation, product OKRs, epics with dependencies</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7</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Feature Backlog &amp; Delivery</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User stories, acceptance criteria, delivery OKRs</w:t>
            </w:r>
          </w:p>
        </w:tc>
      </w:tr>
    </w:tbl>
    <w:p/>
    <w:p>
      <w:pPr/>
      <w:r/>
      <w:r>
        <w:rPr>
          <w:b/>
        </w:rPr>
        <w:t>Key design principles:</w:t>
      </w:r>
      <w:r/>
    </w:p>
    <w:p>
      <w:pPr>
        <w:pStyle w:val="ListBullet"/>
      </w:pPr>
      <w:r/>
      <w:r>
        <w:rPr>
          <w:b/>
        </w:rPr>
        <w:t>Data lineage:</w:t>
      </w:r>
      <w:r>
        <w:t xml:space="preserve"> Every output cites its data source — a financial metric, a process bottleneck, a competitor benchmark, or an upstream strategic decision. Nothing is generated from opinion alone.</w:t>
      </w:r>
    </w:p>
    <w:p>
      <w:pPr>
        <w:pStyle w:val="ListBullet"/>
      </w:pPr>
      <w:r/>
      <w:r>
        <w:rPr>
          <w:b/>
        </w:rPr>
        <w:t>Human-in-the-loop:</w:t>
      </w:r>
      <w:r>
        <w:t xml:space="preserve"> Each step concludes with a review gate. Leaders approve or reject AI outputs before they become inputs to the next step. AI accelerates; humans validate.</w:t>
      </w:r>
    </w:p>
    <w:p>
      <w:pPr>
        <w:pStyle w:val="ListBullet"/>
      </w:pPr>
      <w:r/>
      <w:r>
        <w:rPr>
          <w:b/>
        </w:rPr>
        <w:t>Fallback resilience:</w:t>
      </w:r>
      <w:r>
        <w:t xml:space="preserve"> Data ingestion follows a three-tier pattern — live API first, AI-generated analysis second, template defaults third — ensuring the pipeline completes even when external data sources are unavailable.</w:t>
      </w:r>
    </w:p>
    <w:p>
      <w:pPr>
        <w:pStyle w:val="ListBullet"/>
      </w:pPr>
      <w:r/>
      <w:r>
        <w:rPr>
          <w:b/>
        </w:rPr>
        <w:t>RAG knowledge injection:</w:t>
      </w:r>
      <w:r>
        <w:t xml:space="preserve"> Every agent queries a centralized knowledge base of uploaded organizational documents, industry reports, and regulatory guidance, ensuring institutional context informs every output.</w:t>
      </w:r>
    </w:p>
    <w:p>
      <w:pPr>
        <w:pStyle w:val="Heading1"/>
      </w:pPr>
      <w:r>
        <w:t>4. Real-World Case Study: US Bancorp Transformation Analysis</w:t>
      </w:r>
    </w:p>
    <w:p>
      <w:pPr/>
      <w:r>
        <w:t xml:space="preserve">To demonstrate the platform's capabilities with real data, we performed a complete 7-step transformation analysis for </w:t>
      </w:r>
      <w:r>
        <w:rPr>
          <w:b/>
        </w:rPr>
        <w:t>US Bancorp (NYSE: USB)</w:t>
      </w:r>
      <w:r>
        <w:t xml:space="preserve"> — a $87 billion market-cap bank with $25.2 billion in annual revenue, four major business lines, and operations spanning consumer banking, wealth management, payments, and corporate services.</w:t>
      </w:r>
    </w:p>
    <w:p>
      <w:pPr>
        <w:pStyle w:val="Heading2"/>
      </w:pPr>
      <w:r>
        <w:t>Step 1: Business Performance Analysis</w:t>
      </w:r>
    </w:p>
    <w:p>
      <w:pPr/>
      <w:r>
        <w:t>The platform auto-ingested US Bancorp's financial data from Finnhub and Alpha Vantage APIs within 30 seconds, extracting:</w:t>
      </w:r>
    </w:p>
    <w:p>
      <w:pPr/>
      <w:r/>
      <w:r>
        <w:rPr>
          <w:b/>
        </w:rPr>
        <w:t>Key Financial Metrics (TTM):</w:t>
      </w:r>
      <w:r/>
    </w:p>
    <w:p>
      <w:pPr>
        <w:pStyle w:val="ListBullet"/>
      </w:pPr>
      <w:r>
        <w:t>Market Cap: $87B | Revenue: $25.2B | Net Profit Margin: 24.14%</w:t>
      </w:r>
    </w:p>
    <w:p>
      <w:pPr>
        <w:pStyle w:val="ListBullet"/>
      </w:pPr>
      <w:r>
        <w:t>Operating Margin: 30.19% | ROE: 11.61% | ROA: 1.10%</w:t>
      </w:r>
    </w:p>
    <w:p>
      <w:pPr>
        <w:pStyle w:val="ListBullet"/>
      </w:pPr>
      <w:r>
        <w:t>EPS: $4.86 | Net Interest Margin: 2.81% | Efficiency Ratio: 61.2%</w:t>
      </w:r>
    </w:p>
    <w:p>
      <w:pPr>
        <w:pStyle w:val="ListBullet"/>
      </w:pPr>
      <w:r>
        <w:t>CET1 Capital Ratio: 10.20% | Dividend Yield: 3.88% | Beta: 1.045</w:t>
      </w:r>
    </w:p>
    <w:p>
      <w:pPr/>
      <w:r/>
      <w:r>
        <w:rPr>
          <w:b/>
        </w:rPr>
        <w:t>Revenue Decomposition:</w:t>
      </w:r>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Business Line</w:t>
            </w:r>
          </w:p>
        </w:tc>
        <w:tc>
          <w:tcPr>
            <w:tcW w:type="dxa" w:w="312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Revenue ($M)</w:t>
            </w:r>
          </w:p>
        </w:tc>
        <w:tc>
          <w:tcPr>
            <w:tcW w:type="dxa" w:w="312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Share</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Consumer &amp; Business Banking</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$9,842</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39%</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Payment Services</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$7,218</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29%</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Treasury &amp; Corporate</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$4,295</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17%</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Wealth Management</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$3,845</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15%</w:t>
            </w:r>
          </w:p>
        </w:tc>
      </w:tr>
    </w:tbl>
    <w:p/>
    <w:p>
      <w:pPr/>
      <w:r/>
      <w:r>
        <w:rPr>
          <w:b/>
        </w:rPr>
        <w:t>Automated Competitor Benchmarking:</w:t>
      </w:r>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Metric</w:t>
            </w:r>
          </w:p>
        </w:tc>
        <w:tc>
          <w:tcPr>
            <w:tcW w:type="dxa" w:w="1872"/>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USB</w:t>
            </w:r>
          </w:p>
        </w:tc>
        <w:tc>
          <w:tcPr>
            <w:tcW w:type="dxa" w:w="1872"/>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JPMorgan</w:t>
            </w:r>
          </w:p>
        </w:tc>
        <w:tc>
          <w:tcPr>
            <w:tcW w:type="dxa" w:w="1872"/>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Wells Fargo</w:t>
            </w:r>
          </w:p>
        </w:tc>
        <w:tc>
          <w:tcPr>
            <w:tcW w:type="dxa" w:w="1872"/>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PNC Financial</w:t>
            </w:r>
          </w:p>
        </w:tc>
      </w:tr>
      <w:tr>
        <w:tc>
          <w:tcPr>
            <w:tcW w:type="dxa" w:w="1872"/>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Market Cap</w:t>
            </w:r>
          </w:p>
        </w:tc>
        <w:tc>
          <w:tcPr>
            <w:tcW w:type="dxa" w:w="1872"/>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$87B</w:t>
            </w:r>
          </w:p>
        </w:tc>
        <w:tc>
          <w:tcPr>
            <w:tcW w:type="dxa" w:w="1872"/>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$690B</w:t>
            </w:r>
          </w:p>
        </w:tc>
        <w:tc>
          <w:tcPr>
            <w:tcW w:type="dxa" w:w="1872"/>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$218B</w:t>
            </w:r>
          </w:p>
        </w:tc>
        <w:tc>
          <w:tcPr>
            <w:tcW w:type="dxa" w:w="1872"/>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$85B</w:t>
            </w:r>
          </w:p>
        </w:tc>
      </w:tr>
      <w:tr>
        <w:tc>
          <w:tcPr>
            <w:tcW w:type="dxa" w:w="1872"/>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Revenue</w:t>
            </w:r>
          </w:p>
        </w:tc>
        <w:tc>
          <w:tcPr>
            <w:tcW w:type="dxa" w:w="1872"/>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$25.2B</w:t>
            </w:r>
          </w:p>
        </w:tc>
        <w:tc>
          <w:tcPr>
            <w:tcW w:type="dxa" w:w="1872"/>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$177.6B</w:t>
            </w:r>
          </w:p>
        </w:tc>
        <w:tc>
          <w:tcPr>
            <w:tcW w:type="dxa" w:w="1872"/>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$82.6B</w:t>
            </w:r>
          </w:p>
        </w:tc>
        <w:tc>
          <w:tcPr>
            <w:tcW w:type="dxa" w:w="1872"/>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$22.4B</w:t>
            </w:r>
          </w:p>
        </w:tc>
      </w:tr>
      <w:tr>
        <w:tc>
          <w:tcPr>
            <w:tcW w:type="dxa" w:w="1872"/>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Profit Margin</w:t>
            </w:r>
          </w:p>
        </w:tc>
        <w:tc>
          <w:tcPr>
            <w:tcW w:type="dxa" w:w="1872"/>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24.1%</w:t>
            </w:r>
          </w:p>
        </w:tc>
        <w:tc>
          <w:tcPr>
            <w:tcW w:type="dxa" w:w="1872"/>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33.4%</w:t>
            </w:r>
          </w:p>
        </w:tc>
        <w:tc>
          <w:tcPr>
            <w:tcW w:type="dxa" w:w="1872"/>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25.5%</w:t>
            </w:r>
          </w:p>
        </w:tc>
        <w:tc>
          <w:tcPr>
            <w:tcW w:type="dxa" w:w="1872"/>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26.8%</w:t>
            </w:r>
          </w:p>
        </w:tc>
      </w:tr>
      <w:tr>
        <w:tc>
          <w:tcPr>
            <w:tcW w:type="dxa" w:w="1872"/>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ROE</w:t>
            </w:r>
          </w:p>
        </w:tc>
        <w:tc>
          <w:tcPr>
            <w:tcW w:type="dxa" w:w="1872"/>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11.6%</w:t>
            </w:r>
          </w:p>
        </w:tc>
        <w:tc>
          <w:tcPr>
            <w:tcW w:type="dxa" w:w="1872"/>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17.0%</w:t>
            </w:r>
          </w:p>
        </w:tc>
        <w:tc>
          <w:tcPr>
            <w:tcW w:type="dxa" w:w="1872"/>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12.0%</w:t>
            </w:r>
          </w:p>
        </w:tc>
        <w:tc>
          <w:tcPr>
            <w:tcW w:type="dxa" w:w="1872"/>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12.0%</w:t>
            </w:r>
          </w:p>
        </w:tc>
      </w:tr>
    </w:tbl>
    <w:p/>
    <w:p>
      <w:pPr/>
      <w:r>
        <w:t>The AI immediately identified that USB's efficiency ratio (61.2%) lags both JPMorgan (55%) and PNC (58%), flagging operational efficiency as a priority area — a conclusion that would take a consulting analyst 2-4 weeks of research to reach.</w:t>
      </w:r>
    </w:p>
    <w:p>
      <w:pPr>
        <w:pStyle w:val="Heading2"/>
      </w:pPr>
      <w:r>
        <w:t>Step 2: Value Stream Mapping</w:t>
      </w:r>
    </w:p>
    <w:p>
      <w:pPr/>
      <w:r>
        <w:t>Using the financial data and business unit structure from Step 1, the platform mapped 4 value streams with 17 process steps in under 3 minutes:</w:t>
      </w:r>
    </w:p>
    <w:p>
      <w:pPr>
        <w:pStyle w:val="ListNumber"/>
      </w:pPr>
      <w:r/>
      <w:r>
        <w:rPr>
          <w:b/>
        </w:rPr>
        <w:t>Digital Mortgage Origination</w:t>
      </w:r>
      <w:r>
        <w:t xml:space="preserve"> (7 steps) — Bottleneck identified: Manual Underwriter Review (4 hours process time, 48 hours wait time). The platform flagged that 60% of applications require manual review versus a target of 20%.</w:t>
      </w:r>
    </w:p>
    <w:p>
      <w:pPr>
        <w:pStyle w:val="ListNumber"/>
      </w:pPr>
      <w:r/>
      <w:r>
        <w:rPr>
          <w:b/>
        </w:rPr>
        <w:t>Merchant Payment Processing</w:t>
      </w:r>
      <w:r>
        <w:t xml:space="preserve"> (5 steps) — Bottleneck identified: T+1 Batch Settlement. The platform recognized that batch settlement creates a 12-24 hour delay when the industry is moving toward real-time settlement via FedNow/RTP.</w:t>
      </w:r>
    </w:p>
    <w:p>
      <w:pPr>
        <w:pStyle w:val="ListNumber"/>
      </w:pPr>
      <w:r/>
      <w:r>
        <w:rPr>
          <w:b/>
        </w:rPr>
        <w:t>Digital Account Opening</w:t>
      </w:r>
      <w:r>
        <w:t xml:space="preserve"> (5 steps) — Flow analysis revealed an 8-minute average completion time against a target of 60 seconds, with the primary delay in identity verification and debit card provisioning.</w:t>
      </w:r>
    </w:p>
    <w:p>
      <w:pPr>
        <w:pStyle w:val="ListNumber"/>
      </w:pPr>
      <w:r/>
      <w:r>
        <w:rPr>
          <w:b/>
        </w:rPr>
        <w:t>Wealth Advisory Onboarding</w:t>
      </w:r>
      <w:r>
        <w:t xml:space="preserve"> — Complex process with compliance review creating the longest wait times.</w:t>
      </w:r>
    </w:p>
    <w:p>
      <w:pPr/>
      <w:r>
        <w:t>Each value stream included AI-generated improvement levers with impact scoring — for example, "AI-powered automated underwriting to handle 80% of conforming loans without manual review" was scored as high-impact.</w:t>
      </w:r>
    </w:p>
    <w:p>
      <w:pPr>
        <w:pStyle w:val="Heading2"/>
      </w:pPr>
      <w:r>
        <w:t>Step 3: SWOT-to-TOWS Action Engine</w:t>
      </w:r>
    </w:p>
    <w:p>
      <w:pPr/>
      <w:r>
        <w:t>Building on the financial metrics and value stream analysis, the AI generated 16 SWOT entries, each with severity and confidence scores:</w:t>
      </w:r>
    </w:p>
    <w:p>
      <w:pPr/>
      <w:r/>
      <w:r>
        <w:rPr>
          <w:b/>
        </w:rPr>
        <w:t>Strengths:</w:t>
      </w:r>
      <w:r/>
    </w:p>
    <w:p>
      <w:pPr>
        <w:pStyle w:val="ListBullet"/>
      </w:pPr>
      <w:r>
        <w:t xml:space="preserve">#1 US corporate payments provider — Elavon processes $500B+ annually </w:t>
      </w:r>
      <w:r>
        <w:rPr>
          <w:i/>
        </w:rPr>
        <w:t>(severity: high, confidence: high)</w:t>
      </w:r>
      <w:r/>
    </w:p>
    <w:p>
      <w:pPr>
        <w:pStyle w:val="ListBullet"/>
      </w:pPr>
      <w:r>
        <w:t xml:space="preserve">Top 5 US bank by assets ($675B) with diversified revenue </w:t>
      </w:r>
      <w:r>
        <w:rPr>
          <w:i/>
        </w:rPr>
        <w:t>(high, high)</w:t>
      </w:r>
      <w:r/>
    </w:p>
    <w:p>
      <w:pPr>
        <w:pStyle w:val="ListBullet"/>
      </w:pPr>
      <w:r>
        <w:t xml:space="preserve">75% of consumer transactions digital </w:t>
      </w:r>
      <w:r>
        <w:rPr>
          <w:i/>
        </w:rPr>
        <w:t>(high, high)</w:t>
      </w:r>
      <w:r/>
    </w:p>
    <w:p>
      <w:pPr>
        <w:pStyle w:val="ListBullet"/>
      </w:pPr>
      <w:r>
        <w:t xml:space="preserve">Below-peer charge-off rate: 0.42% vs 0.58% peer average </w:t>
      </w:r>
      <w:r>
        <w:rPr>
          <w:i/>
        </w:rPr>
        <w:t>(medium, high)</w:t>
      </w:r>
      <w:r/>
    </w:p>
    <w:p>
      <w:pPr/>
      <w:r/>
      <w:r>
        <w:rPr>
          <w:b/>
        </w:rPr>
        <w:t>Weaknesses:</w:t>
      </w:r>
      <w:r/>
    </w:p>
    <w:p>
      <w:pPr>
        <w:pStyle w:val="ListBullet"/>
      </w:pPr>
      <w:r>
        <w:t xml:space="preserve">Efficiency ratio (61.2%) lags JPM (55%) and PNC (58%) </w:t>
      </w:r>
      <w:r>
        <w:rPr>
          <w:i/>
        </w:rPr>
        <w:t>(high, high)</w:t>
      </w:r>
      <w:r/>
    </w:p>
    <w:p>
      <w:pPr>
        <w:pStyle w:val="ListBullet"/>
      </w:pPr>
      <w:r>
        <w:t xml:space="preserve">CRE exposure at 18% of loan book </w:t>
      </w:r>
      <w:r>
        <w:rPr>
          <w:i/>
        </w:rPr>
        <w:t>(high, medium)</w:t>
      </w:r>
      <w:r/>
    </w:p>
    <w:p>
      <w:pPr>
        <w:pStyle w:val="ListBullet"/>
      </w:pPr>
      <w:r>
        <w:t xml:space="preserve">Tech spend ($3.5B) is 25% of JPM's $15B </w:t>
      </w:r>
      <w:r>
        <w:rPr>
          <w:i/>
        </w:rPr>
        <w:t>(medium, high)</w:t>
      </w:r>
      <w:r/>
    </w:p>
    <w:p>
      <w:pPr>
        <w:pStyle w:val="ListBullet"/>
      </w:pPr>
      <w:r>
        <w:t xml:space="preserve">Limited international presence </w:t>
      </w:r>
      <w:r>
        <w:rPr>
          <w:i/>
        </w:rPr>
        <w:t>(medium, high)</w:t>
      </w:r>
      <w:r/>
    </w:p>
    <w:p>
      <w:pPr/>
      <w:r/>
      <w:r>
        <w:rPr>
          <w:b/>
        </w:rPr>
        <w:t>Opportunities:</w:t>
      </w:r>
      <w:r/>
    </w:p>
    <w:p>
      <w:pPr>
        <w:pStyle w:val="ListBullet"/>
      </w:pPr>
      <w:r>
        <w:t xml:space="preserve">Embedded finance &amp; BaaS for fintechs </w:t>
      </w:r>
      <w:r>
        <w:rPr>
          <w:i/>
        </w:rPr>
        <w:t>(high, medium)</w:t>
      </w:r>
      <w:r/>
    </w:p>
    <w:p>
      <w:pPr>
        <w:pStyle w:val="ListBullet"/>
      </w:pPr>
      <w:r>
        <w:t xml:space="preserve">Real-time payments via FedNow/RTP </w:t>
      </w:r>
      <w:r>
        <w:rPr>
          <w:i/>
        </w:rPr>
        <w:t>(high, high)</w:t>
      </w:r>
      <w:r/>
    </w:p>
    <w:p>
      <w:pPr>
        <w:pStyle w:val="ListBullet"/>
      </w:pPr>
      <w:r>
        <w:t xml:space="preserve">Gen AI for est. $800M in operational savings </w:t>
      </w:r>
      <w:r>
        <w:rPr>
          <w:i/>
        </w:rPr>
        <w:t>(high, medium)</w:t>
      </w:r>
      <w:r/>
    </w:p>
    <w:p>
      <w:pPr>
        <w:pStyle w:val="ListBullet"/>
      </w:pPr>
      <w:r>
        <w:t xml:space="preserve">Open banking APIs </w:t>
      </w:r>
      <w:r>
        <w:rPr>
          <w:i/>
        </w:rPr>
        <w:t>(medium, medium)</w:t>
      </w:r>
      <w:r/>
    </w:p>
    <w:p>
      <w:pPr/>
      <w:r/>
      <w:r>
        <w:rPr>
          <w:b/>
        </w:rPr>
        <w:t>Threats:</w:t>
      </w:r>
      <w:r/>
    </w:p>
    <w:p>
      <w:pPr>
        <w:pStyle w:val="ListBullet"/>
      </w:pPr>
      <w:r>
        <w:t xml:space="preserve">Fintech disruption from Chime, SoFi </w:t>
      </w:r>
      <w:r>
        <w:rPr>
          <w:i/>
        </w:rPr>
        <w:t>(high, high)</w:t>
      </w:r>
      <w:r/>
    </w:p>
    <w:p>
      <w:pPr>
        <w:pStyle w:val="ListBullet"/>
      </w:pPr>
      <w:r>
        <w:t xml:space="preserve">Rate environment compressing margins </w:t>
      </w:r>
      <w:r>
        <w:rPr>
          <w:i/>
        </w:rPr>
        <w:t>(high, medium)</w:t>
      </w:r>
      <w:r/>
    </w:p>
    <w:p>
      <w:pPr>
        <w:pStyle w:val="ListBullet"/>
      </w:pPr>
      <w:r>
        <w:t xml:space="preserve">Basel III endgame capital requirements </w:t>
      </w:r>
      <w:r>
        <w:rPr>
          <w:i/>
        </w:rPr>
        <w:t>(high, high)</w:t>
      </w:r>
      <w:r/>
    </w:p>
    <w:p>
      <w:pPr>
        <w:pStyle w:val="ListBullet"/>
      </w:pPr>
      <w:r>
        <w:t xml:space="preserve">Cybersecurity risk </w:t>
      </w:r>
      <w:r>
        <w:rPr>
          <w:i/>
        </w:rPr>
        <w:t>(high, high)</w:t>
      </w:r>
      <w:r/>
    </w:p>
    <w:p>
      <w:pPr/>
      <w:r>
        <w:t xml:space="preserve">The TOWS engine then generated </w:t>
      </w:r>
      <w:r>
        <w:rPr>
          <w:b/>
        </w:rPr>
        <w:t>6 prioritized strategic actions</w:t>
      </w:r>
      <w:r>
        <w:t>, pairing strengths and weaknesses with opportunities and threats: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Type</w:t>
            </w:r>
          </w:p>
        </w:tc>
        <w:tc>
          <w:tcPr>
            <w:tcW w:type="dxa" w:w="312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Action</w:t>
            </w:r>
          </w:p>
        </w:tc>
        <w:tc>
          <w:tcPr>
            <w:tcW w:type="dxa" w:w="312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Impact Score</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r>
            <w:r>
              <w:rPr>
                <w:rFonts w:ascii="Calibri" w:hAnsi="Calibri"/>
                <w:b/>
                <w:sz w:val="18"/>
              </w:rPr>
              <w:t>WO</w:t>
            </w:r>
            <w:r>
              <w:rPr>
                <w:rFonts w:ascii="Calibri" w:hAnsi="Calibri"/>
                <w:sz w:val="18"/>
              </w:rPr>
              <w:t xml:space="preserve"> (Critical)</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Deploy Gen AI to reduce efficiency ratio from 61% to 55%</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10/10</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r>
            <w:r>
              <w:rPr>
                <w:rFonts w:ascii="Calibri" w:hAnsi="Calibri"/>
                <w:b/>
                <w:sz w:val="18"/>
              </w:rPr>
              <w:t>SO</w:t>
            </w:r>
            <w:r>
              <w:rPr>
                <w:rFonts w:ascii="Calibri" w:hAnsi="Calibri"/>
                <w:sz w:val="18"/>
              </w:rPr>
              <w:t xml:space="preserve"> (Critical)</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Leverage Elavon for real-time merchant settlement via FedNow</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9/10</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r>
            <w:r>
              <w:rPr>
                <w:rFonts w:ascii="Calibri" w:hAnsi="Calibri"/>
                <w:b/>
                <w:sz w:val="18"/>
              </w:rPr>
              <w:t>SO</w:t>
            </w:r>
            <w:r>
              <w:rPr>
                <w:rFonts w:ascii="Calibri" w:hAnsi="Calibri"/>
                <w:sz w:val="18"/>
              </w:rPr>
              <w:t xml:space="preserve"> (High)</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Build embedded finance platform using digital banking strengths</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8/10</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r>
            <w:r>
              <w:rPr>
                <w:rFonts w:ascii="Calibri" w:hAnsi="Calibri"/>
                <w:b/>
                <w:sz w:val="18"/>
              </w:rPr>
              <w:t>WT</w:t>
            </w:r>
            <w:r>
              <w:rPr>
                <w:rFonts w:ascii="Calibri" w:hAnsi="Calibri"/>
                <w:sz w:val="18"/>
              </w:rPr>
              <w:t xml:space="preserve"> (High)</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Accelerate cloud migration and API-first architecture</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8/10</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r>
            <w:r>
              <w:rPr>
                <w:rFonts w:ascii="Calibri" w:hAnsi="Calibri"/>
                <w:b/>
                <w:sz w:val="18"/>
              </w:rPr>
              <w:t>ST</w:t>
            </w:r>
            <w:r>
              <w:rPr>
                <w:rFonts w:ascii="Calibri" w:hAnsi="Calibri"/>
                <w:sz w:val="18"/>
              </w:rPr>
              <w:t xml:space="preserve"> (High)</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Use credit discipline as competitive advantage in downturn</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7/10</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r>
            <w:r>
              <w:rPr>
                <w:rFonts w:ascii="Calibri" w:hAnsi="Calibri"/>
                <w:b/>
                <w:sz w:val="18"/>
              </w:rPr>
              <w:t>ST</w:t>
            </w:r>
            <w:r>
              <w:rPr>
                <w:rFonts w:ascii="Calibri" w:hAnsi="Calibri"/>
                <w:sz w:val="18"/>
              </w:rPr>
              <w:t xml:space="preserve"> (Medium)</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Optimize balance sheet to exceed Basel III with margin</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6/10</w:t>
            </w:r>
          </w:p>
        </w:tc>
      </w:tr>
    </w:tbl>
    <w:p/>
    <w:p>
      <w:pPr/>
      <w:r>
        <w:t>Every entry traces back to specific financial metrics and value stream findings. The critical TOWS action — "Deploy Gen AI across operations" — cites the efficiency ratio gap identified in Step 1 and the underwriting bottleneck mapped in Step 2.</w:t>
      </w:r>
    </w:p>
    <w:p>
      <w:pPr>
        <w:pStyle w:val="Heading2"/>
      </w:pPr>
      <w:r>
        <w:t>Step 4: Strategy Formulation &amp; Strategic OKRs</w:t>
      </w:r>
    </w:p>
    <w:p>
      <w:pPr/>
      <w:r>
        <w:t xml:space="preserve">From the TOWS actions and strategic inputs (including USB's investor day presentation, digital transformation roadmap, and OCC examination findings), the AI formulated </w:t>
      </w:r>
      <w:r>
        <w:rPr>
          <w:b/>
        </w:rPr>
        <w:t>6 strategies across 4 layers:</w:t>
      </w:r>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Layer</w:t>
            </w:r>
          </w:p>
        </w:tc>
        <w:tc>
          <w:tcPr>
            <w:tcW w:type="dxa" w:w="312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Strategy</w:t>
            </w:r>
          </w:p>
        </w:tc>
        <w:tc>
          <w:tcPr>
            <w:tcW w:type="dxa" w:w="312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Risk Level</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r>
            <w:r>
              <w:rPr>
                <w:rFonts w:ascii="Calibri" w:hAnsi="Calibri"/>
                <w:b/>
                <w:sz w:val="18"/>
              </w:rPr>
              <w:t>Business</w:t>
            </w:r>
            <w:r>
              <w:rPr>
                <w:rFonts w:ascii="Calibri" w:hAnsi="Calibri"/>
                <w:sz w:val="18"/>
              </w:rPr>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Real-Time Payment Leadership</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Medium</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r>
            <w:r>
              <w:rPr>
                <w:rFonts w:ascii="Calibri" w:hAnsi="Calibri"/>
                <w:b/>
                <w:sz w:val="18"/>
              </w:rPr>
              <w:t>Business</w:t>
            </w:r>
            <w:r>
              <w:rPr>
                <w:rFonts w:ascii="Calibri" w:hAnsi="Calibri"/>
                <w:sz w:val="18"/>
              </w:rPr>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Embedded Finance &amp; BaaS Platform</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Medium</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r>
            <w:r>
              <w:rPr>
                <w:rFonts w:ascii="Calibri" w:hAnsi="Calibri"/>
                <w:b/>
                <w:sz w:val="18"/>
              </w:rPr>
              <w:t>Digital</w:t>
            </w:r>
            <w:r>
              <w:rPr>
                <w:rFonts w:ascii="Calibri" w:hAnsi="Calibri"/>
                <w:sz w:val="18"/>
              </w:rPr>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AI-First Operations Transformation</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High</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r>
            <w:r>
              <w:rPr>
                <w:rFonts w:ascii="Calibri" w:hAnsi="Calibri"/>
                <w:b/>
                <w:sz w:val="18"/>
              </w:rPr>
              <w:t>Digital</w:t>
            </w:r>
            <w:r>
              <w:rPr>
                <w:rFonts w:ascii="Calibri" w:hAnsi="Calibri"/>
                <w:sz w:val="18"/>
              </w:rPr>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Next-Gen Digital Banking Experience</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Low</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r>
            <w:r>
              <w:rPr>
                <w:rFonts w:ascii="Calibri" w:hAnsi="Calibri"/>
                <w:b/>
                <w:sz w:val="18"/>
              </w:rPr>
              <w:t>Data</w:t>
            </w:r>
            <w:r>
              <w:rPr>
                <w:rFonts w:ascii="Calibri" w:hAnsi="Calibri"/>
                <w:sz w:val="18"/>
              </w:rPr>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Unified Customer Intelligence Platform</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Medium</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r>
            <w:r>
              <w:rPr>
                <w:rFonts w:ascii="Calibri" w:hAnsi="Calibri"/>
                <w:b/>
                <w:sz w:val="18"/>
              </w:rPr>
              <w:t>Gen AI</w:t>
            </w:r>
            <w:r>
              <w:rPr>
                <w:rFonts w:ascii="Calibri" w:hAnsi="Calibri"/>
                <w:sz w:val="18"/>
              </w:rPr>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Gen AI Copilot for Banking Operations</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High</w:t>
            </w:r>
          </w:p>
        </w:tc>
      </w:tr>
    </w:tbl>
    <w:p/>
    <w:p>
      <w:pPr/>
      <w:r>
        <w:t xml:space="preserve">For each strategy, the AI generated </w:t>
      </w:r>
      <w:r>
        <w:rPr>
          <w:b/>
        </w:rPr>
        <w:t>OKRs with data-anchored key results:</w:t>
      </w:r>
      <w:r/>
    </w:p>
    <w:p>
      <w:pPr/>
      <w:r/>
      <w:r>
        <w:rPr>
          <w:b/>
        </w:rPr>
        <w:t>Example — OKR for "Reduce efficiency ratio from 61.2% to 55%":</w:t>
      </w:r>
      <w:r/>
    </w:p>
    <w:p>
      <w:pPr>
        <w:pStyle w:val="ListBullet"/>
      </w:pPr>
      <w:r>
        <w:t>KR1: Automate 70% of mortgage underwriting decisions (baseline: 40% → target: 70%)</w:t>
      </w:r>
    </w:p>
    <w:p>
      <w:pPr>
        <w:pStyle w:val="ListBullet"/>
      </w:pPr>
      <w:r>
        <w:t>KR2: Reduce compliance review time by 50% via AI document analysis (baseline: 0% → target: 50%)</w:t>
      </w:r>
    </w:p>
    <w:p>
      <w:pPr>
        <w:pStyle w:val="ListBullet"/>
      </w:pPr>
      <w:r>
        <w:t>KR3: Achieve $400M annual cost savings from AI automation (baseline: $25M → target: $400M)</w:t>
      </w:r>
    </w:p>
    <w:p>
      <w:pPr/>
      <w:r>
        <w:t>Every target is anchored to current baselines from Step 1 metrics and industry benchmarks from competitor analysis — not arbitrary percentages.</w:t>
      </w:r>
    </w:p>
    <w:p>
      <w:pPr>
        <w:pStyle w:val="Heading2"/>
      </w:pPr>
      <w:r>
        <w:t>Step 5: Initiative Prioritization</w:t>
      </w:r>
    </w:p>
    <w:p>
      <w:pPr/>
      <w:r>
        <w:t xml:space="preserve">The platform generated </w:t>
      </w:r>
      <w:r>
        <w:rPr>
          <w:b/>
        </w:rPr>
        <w:t>8 initiatives</w:t>
      </w:r>
      <w:r>
        <w:t xml:space="preserve"> with standardized RICE scoring:</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Initiative</w:t>
            </w:r>
          </w:p>
        </w:tc>
        <w:tc>
          <w:tcPr>
            <w:tcW w:type="dxa" w:w="156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Reach</w:t>
            </w:r>
          </w:p>
        </w:tc>
        <w:tc>
          <w:tcPr>
            <w:tcW w:type="dxa" w:w="156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Impact</w:t>
            </w:r>
          </w:p>
        </w:tc>
        <w:tc>
          <w:tcPr>
            <w:tcW w:type="dxa" w:w="156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Confidence</w:t>
            </w:r>
          </w:p>
        </w:tc>
        <w:tc>
          <w:tcPr>
            <w:tcW w:type="dxa" w:w="156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Effort</w:t>
            </w:r>
          </w:p>
        </w:tc>
        <w:tc>
          <w:tcPr>
            <w:tcW w:type="dxa" w:w="156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Phase</w:t>
            </w:r>
          </w:p>
        </w:tc>
      </w:tr>
      <w:tr>
        <w:tc>
          <w:tcPr>
            <w:tcW w:type="dxa" w:w="156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FedNow Merchant Settlement</w:t>
            </w:r>
          </w:p>
        </w:tc>
        <w:tc>
          <w:tcPr>
            <w:tcW w:type="dxa" w:w="156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50K merchants</w:t>
            </w:r>
          </w:p>
        </w:tc>
        <w:tc>
          <w:tcPr>
            <w:tcW w:type="dxa" w:w="156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3</w:t>
            </w:r>
          </w:p>
        </w:tc>
        <w:tc>
          <w:tcPr>
            <w:tcW w:type="dxa" w:w="156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0.8</w:t>
            </w:r>
          </w:p>
        </w:tc>
        <w:tc>
          <w:tcPr>
            <w:tcW w:type="dxa" w:w="156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10</w:t>
            </w:r>
          </w:p>
        </w:tc>
        <w:tc>
          <w:tcPr>
            <w:tcW w:type="dxa" w:w="156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Phase 1</w:t>
            </w:r>
          </w:p>
        </w:tc>
      </w:tr>
      <w:tr>
        <w:tc>
          <w:tcPr>
            <w:tcW w:type="dxa" w:w="156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Loan Officer AI Assistant</w:t>
            </w:r>
          </w:p>
        </w:tc>
        <w:tc>
          <w:tcPr>
            <w:tcW w:type="dxa" w:w="156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3K officers</w:t>
            </w:r>
          </w:p>
        </w:tc>
        <w:tc>
          <w:tcPr>
            <w:tcW w:type="dxa" w:w="156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3</w:t>
            </w:r>
          </w:p>
        </w:tc>
        <w:tc>
          <w:tcPr>
            <w:tcW w:type="dxa" w:w="156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0.8</w:t>
            </w:r>
          </w:p>
        </w:tc>
        <w:tc>
          <w:tcPr>
            <w:tcW w:type="dxa" w:w="156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8</w:t>
            </w:r>
          </w:p>
        </w:tc>
        <w:tc>
          <w:tcPr>
            <w:tcW w:type="dxa" w:w="156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Phase 1</w:t>
            </w:r>
          </w:p>
        </w:tc>
      </w:tr>
      <w:tr>
        <w:tc>
          <w:tcPr>
            <w:tcW w:type="dxa" w:w="156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AI Mortgage Auto-Decisioning</w:t>
            </w:r>
          </w:p>
        </w:tc>
        <w:tc>
          <w:tcPr>
            <w:tcW w:type="dxa" w:w="156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100K applications</w:t>
            </w:r>
          </w:p>
        </w:tc>
        <w:tc>
          <w:tcPr>
            <w:tcW w:type="dxa" w:w="156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3</w:t>
            </w:r>
          </w:p>
        </w:tc>
        <w:tc>
          <w:tcPr>
            <w:tcW w:type="dxa" w:w="156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0.8</w:t>
            </w:r>
          </w:p>
        </w:tc>
        <w:tc>
          <w:tcPr>
            <w:tcW w:type="dxa" w:w="156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14</w:t>
            </w:r>
          </w:p>
        </w:tc>
        <w:tc>
          <w:tcPr>
            <w:tcW w:type="dxa" w:w="156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Phase 1</w:t>
            </w:r>
          </w:p>
        </w:tc>
      </w:tr>
      <w:tr>
        <w:tc>
          <w:tcPr>
            <w:tcW w:type="dxa" w:w="156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Instant Account Opening</w:t>
            </w:r>
          </w:p>
        </w:tc>
        <w:tc>
          <w:tcPr>
            <w:tcW w:type="dxa" w:w="156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500K customers</w:t>
            </w:r>
          </w:p>
        </w:tc>
        <w:tc>
          <w:tcPr>
            <w:tcW w:type="dxa" w:w="156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2</w:t>
            </w:r>
          </w:p>
        </w:tc>
        <w:tc>
          <w:tcPr>
            <w:tcW w:type="dxa" w:w="156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1.0</w:t>
            </w:r>
          </w:p>
        </w:tc>
        <w:tc>
          <w:tcPr>
            <w:tcW w:type="dxa" w:w="156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6</w:t>
            </w:r>
          </w:p>
        </w:tc>
        <w:tc>
          <w:tcPr>
            <w:tcW w:type="dxa" w:w="156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Phase 1</w:t>
            </w:r>
          </w:p>
        </w:tc>
      </w:tr>
      <w:tr>
        <w:tc>
          <w:tcPr>
            <w:tcW w:type="dxa" w:w="156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BaaS Developer Portal</w:t>
            </w:r>
          </w:p>
        </w:tc>
        <w:tc>
          <w:tcPr>
            <w:tcW w:type="dxa" w:w="156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200 partners</w:t>
            </w:r>
          </w:p>
        </w:tc>
        <w:tc>
          <w:tcPr>
            <w:tcW w:type="dxa" w:w="156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3</w:t>
            </w:r>
          </w:p>
        </w:tc>
        <w:tc>
          <w:tcPr>
            <w:tcW w:type="dxa" w:w="156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0.8</w:t>
            </w:r>
          </w:p>
        </w:tc>
        <w:tc>
          <w:tcPr>
            <w:tcW w:type="dxa" w:w="156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12</w:t>
            </w:r>
          </w:p>
        </w:tc>
        <w:tc>
          <w:tcPr>
            <w:tcW w:type="dxa" w:w="156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Phase 1</w:t>
            </w:r>
          </w:p>
        </w:tc>
      </w:tr>
      <w:tr>
        <w:tc>
          <w:tcPr>
            <w:tcW w:type="dxa" w:w="156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Real-Time Fraud ML</w:t>
            </w:r>
          </w:p>
        </w:tc>
        <w:tc>
          <w:tcPr>
            <w:tcW w:type="dxa" w:w="156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1M transactions</w:t>
            </w:r>
          </w:p>
        </w:tc>
        <w:tc>
          <w:tcPr>
            <w:tcW w:type="dxa" w:w="156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2</w:t>
            </w:r>
          </w:p>
        </w:tc>
        <w:tc>
          <w:tcPr>
            <w:tcW w:type="dxa" w:w="156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0.8</w:t>
            </w:r>
          </w:p>
        </w:tc>
        <w:tc>
          <w:tcPr>
            <w:tcW w:type="dxa" w:w="156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10</w:t>
            </w:r>
          </w:p>
        </w:tc>
        <w:tc>
          <w:tcPr>
            <w:tcW w:type="dxa" w:w="156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Phase 1</w:t>
            </w:r>
          </w:p>
        </w:tc>
      </w:tr>
      <w:tr>
        <w:tc>
          <w:tcPr>
            <w:tcW w:type="dxa" w:w="156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AI Financial Wellness Coach</w:t>
            </w:r>
          </w:p>
        </w:tc>
        <w:tc>
          <w:tcPr>
            <w:tcW w:type="dxa" w:w="156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800K users</w:t>
            </w:r>
          </w:p>
        </w:tc>
        <w:tc>
          <w:tcPr>
            <w:tcW w:type="dxa" w:w="156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2</w:t>
            </w:r>
          </w:p>
        </w:tc>
        <w:tc>
          <w:tcPr>
            <w:tcW w:type="dxa" w:w="156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0.5</w:t>
            </w:r>
          </w:p>
        </w:tc>
        <w:tc>
          <w:tcPr>
            <w:tcW w:type="dxa" w:w="156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8</w:t>
            </w:r>
          </w:p>
        </w:tc>
        <w:tc>
          <w:tcPr>
            <w:tcW w:type="dxa" w:w="156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Phase 2</w:t>
            </w:r>
          </w:p>
        </w:tc>
      </w:tr>
      <w:tr>
        <w:tc>
          <w:tcPr>
            <w:tcW w:type="dxa" w:w="156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Compliance AI — SAR Auto-Gen</w:t>
            </w:r>
          </w:p>
        </w:tc>
        <w:tc>
          <w:tcPr>
            <w:tcW w:type="dxa" w:w="156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500 analysts</w:t>
            </w:r>
          </w:p>
        </w:tc>
        <w:tc>
          <w:tcPr>
            <w:tcW w:type="dxa" w:w="156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3</w:t>
            </w:r>
          </w:p>
        </w:tc>
        <w:tc>
          <w:tcPr>
            <w:tcW w:type="dxa" w:w="156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0.5</w:t>
            </w:r>
          </w:p>
        </w:tc>
        <w:tc>
          <w:tcPr>
            <w:tcW w:type="dxa" w:w="156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12</w:t>
            </w:r>
          </w:p>
        </w:tc>
        <w:tc>
          <w:tcPr>
            <w:tcW w:type="dxa" w:w="156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Phase 2</w:t>
            </w:r>
          </w:p>
        </w:tc>
      </w:tr>
    </w:tbl>
    <w:p/>
    <w:p>
      <w:pPr/>
      <w:r>
        <w:t xml:space="preserve">These were organized into </w:t>
      </w:r>
      <w:r>
        <w:rPr>
          <w:b/>
        </w:rPr>
        <w:t>4 product groups</w:t>
      </w:r>
      <w:r>
        <w:t xml:space="preserve"> (Payment Platform, AI &amp; Automation, Digital Banking, Embedded Finance) and </w:t>
      </w:r>
      <w:r>
        <w:rPr>
          <w:b/>
        </w:rPr>
        <w:t>6 digital products</w:t>
      </w:r>
      <w:r>
        <w:t>, each linked to the originating strategy.</w:t>
      </w:r>
    </w:p>
    <w:p>
      <w:pPr>
        <w:pStyle w:val="Heading2"/>
      </w:pPr>
      <w:r>
        <w:t>Step 6: Epic Decomposition &amp; Team Formation</w:t>
      </w:r>
    </w:p>
    <w:p>
      <w:pPr/>
      <w:r>
        <w:t xml:space="preserve">The platform recommended </w:t>
      </w:r>
      <w:r>
        <w:rPr>
          <w:b/>
        </w:rPr>
        <w:t>6 cross-functional teams</w:t>
      </w:r>
      <w:r>
        <w:t xml:space="preserve"> and decomposed initiatives into </w:t>
      </w:r>
      <w:r>
        <w:rPr>
          <w:b/>
        </w:rPr>
        <w:t>8 epics</w:t>
      </w:r>
      <w:r>
        <w:t xml:space="preserve"> with effort estimates and dependencies:</w:t>
      </w:r>
    </w:p>
    <w:p>
      <w:pPr/>
      <w:r/>
      <w:r>
        <w:rPr>
          <w:b/>
        </w:rPr>
        <w:t>Teams:</w:t>
      </w:r>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Team</w:t>
            </w:r>
          </w:p>
        </w:tc>
        <w:tc>
          <w:tcPr>
            <w:tcW w:type="dxa" w:w="312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Capacity</w:t>
            </w:r>
          </w:p>
        </w:tc>
        <w:tc>
          <w:tcPr>
            <w:tcW w:type="dxa" w:w="312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Primary Focus</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Payments Engineering</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30</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FedNow, settlement</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AI/ML Platform</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25</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Gen AI copilot, ML models</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Consumer Digital</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35</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Mobile banking, account opening</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Credit &amp; Lending Tech</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20</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Mortgage auto-decisioning</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API Platform &amp; Integration</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18</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BaaS developer portal</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Fraud &amp; Risk Analytics</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15</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Real-time fraud detection</w:t>
            </w:r>
          </w:p>
        </w:tc>
      </w:tr>
    </w:tbl>
    <w:p/>
    <w:p>
      <w:pPr/>
      <w:r/>
      <w:r>
        <w:rPr>
          <w:b/>
        </w:rPr>
        <w:t>Product OKRs</w:t>
      </w:r>
      <w:r>
        <w:t xml:space="preserve"> were auto-generated to bridge strategic OKRs to team-level goals. For example, the strategic OKR "Process 25% of Elavon settlements in real-time" cascaded to the product OKR "Launch real-time settlement for top 10,000 Elavon merchants by Q2 2026."</w:t>
      </w:r>
    </w:p>
    <w:p>
      <w:pPr/>
      <w:r/>
      <w:r>
        <w:rPr>
          <w:b/>
        </w:rPr>
        <w:t>3 cross-epic dependencies</w:t>
      </w:r>
      <w:r>
        <w:t xml:space="preserve"> were identified upfront — including that the Merchant RTP Dashboard depends on FedNow Gateway Integration being operational.</w:t>
      </w:r>
    </w:p>
    <w:p>
      <w:pPr>
        <w:pStyle w:val="Heading2"/>
      </w:pPr>
      <w:r>
        <w:t>Step 7: Feature Backlog &amp; Delivery Planning</w:t>
      </w:r>
    </w:p>
    <w:p>
      <w:pPr/>
      <w:r>
        <w:t xml:space="preserve">The final step generated </w:t>
      </w:r>
      <w:r>
        <w:rPr>
          <w:b/>
        </w:rPr>
        <w:t>15 sprint-ready features</w:t>
      </w:r>
      <w:r>
        <w:t xml:space="preserve"> across 8 epics, each with acceptance criteria and delivery OKRs:</w:t>
      </w:r>
    </w:p>
    <w:p>
      <w:pPr/>
      <w:r/>
      <w:r>
        <w:rPr>
          <w:b/>
        </w:rPr>
        <w:t>Example Feature: "Fair Lending Model Validation"</w:t>
      </w:r>
      <w:r/>
    </w:p>
    <w:p>
      <w:pPr>
        <w:pStyle w:val="ListBullet"/>
      </w:pPr>
      <w:r/>
      <w:r>
        <w:rPr>
          <w:b/>
        </w:rPr>
        <w:t>Epic:</w:t>
      </w:r>
      <w:r>
        <w:t xml:space="preserve"> Mortgage ML Decisioning Model</w:t>
      </w:r>
    </w:p>
    <w:p>
      <w:pPr>
        <w:pStyle w:val="ListBullet"/>
      </w:pPr>
      <w:r/>
      <w:r>
        <w:rPr>
          <w:b/>
        </w:rPr>
        <w:t>Priority:</w:t>
      </w:r>
      <w:r>
        <w:t xml:space="preserve"> Critical</w:t>
      </w:r>
    </w:p>
    <w:p>
      <w:pPr>
        <w:pStyle w:val="ListBullet"/>
      </w:pPr>
      <w:r/>
      <w:r>
        <w:rPr>
          <w:b/>
        </w:rPr>
        <w:t>Effort:</w:t>
      </w:r>
      <w:r>
        <w:t xml:space="preserve"> 18 story points</w:t>
      </w:r>
    </w:p>
    <w:p>
      <w:pPr>
        <w:pStyle w:val="ListBullet"/>
      </w:pPr>
      <w:r/>
      <w:r>
        <w:rPr>
          <w:b/>
        </w:rPr>
        <w:t>Acceptance Criteria:</w:t>
      </w:r>
      <w:r>
        <w:t xml:space="preserve"> "No statistically significant disparate impact across race, gender, age. OCC model risk review passed."</w:t>
      </w:r>
    </w:p>
    <w:p>
      <w:pPr>
        <w:pStyle w:val="ListBullet"/>
      </w:pPr>
      <w:r/>
      <w:r>
        <w:rPr>
          <w:b/>
        </w:rPr>
        <w:t>Delivery OKR:</w:t>
      </w:r>
      <w:r>
        <w:t xml:space="preserve"> Deploy mortgage auto-decisioning model with &lt;0.5% adverse action error rate</w:t>
      </w:r>
    </w:p>
    <w:p>
      <w:pPr/>
      <w:r/>
      <w:r>
        <w:rPr>
          <w:b/>
        </w:rPr>
        <w:t>Complete Traceability Chain (Single Example):</w:t>
      </w:r>
      <w:r/>
    </w:p>
    <w:p>
      <w:pPr>
        <w:spacing w:before="0" w:after="0"/>
        <w:ind w:left="567"/>
      </w:pPr>
      <w:r>
        <w:rPr>
          <w:rFonts w:ascii="Courier New" w:hAnsi="Courier New"/>
          <w:color w:val="333333"/>
          <w:sz w:val="17"/>
        </w:rPr>
        <w:t>Strategy: AI-First Operations Transformation (Digital Layer)</w:t>
      </w:r>
    </w:p>
    <w:p>
      <w:pPr>
        <w:spacing w:before="0" w:after="0"/>
        <w:ind w:left="567"/>
      </w:pPr>
      <w:r>
        <w:rPr>
          <w:rFonts w:ascii="Courier New" w:hAnsi="Courier New"/>
          <w:color w:val="333333"/>
          <w:sz w:val="17"/>
        </w:rPr>
        <w:t xml:space="preserve">  └── OKR: Reduce efficiency ratio from 61.2% to 55%</w:t>
      </w:r>
    </w:p>
    <w:p>
      <w:pPr>
        <w:spacing w:before="0" w:after="0"/>
        <w:ind w:left="567"/>
      </w:pPr>
      <w:r>
        <w:rPr>
          <w:rFonts w:ascii="Courier New" w:hAnsi="Courier New"/>
          <w:color w:val="333333"/>
          <w:sz w:val="17"/>
        </w:rPr>
        <w:t xml:space="preserve">       └── Initiative: AI Mortgage Auto-Decisioning (RICE scored)</w:t>
      </w:r>
    </w:p>
    <w:p>
      <w:pPr>
        <w:spacing w:before="0" w:after="0"/>
        <w:ind w:left="567"/>
      </w:pPr>
      <w:r>
        <w:rPr>
          <w:rFonts w:ascii="Courier New" w:hAnsi="Courier New"/>
          <w:color w:val="333333"/>
          <w:sz w:val="17"/>
        </w:rPr>
        <w:t xml:space="preserve">            └── Epic: Mortgage ML Decisioning Model (Credit &amp; Lending Tech team)</w:t>
      </w:r>
    </w:p>
    <w:p>
      <w:pPr>
        <w:spacing w:before="0" w:after="0"/>
        <w:ind w:left="567"/>
      </w:pPr>
      <w:r>
        <w:rPr>
          <w:rFonts w:ascii="Courier New" w:hAnsi="Courier New"/>
          <w:color w:val="333333"/>
          <w:sz w:val="17"/>
        </w:rPr>
        <w:t xml:space="preserve">                 └── Feature: Fair Lending Model Validation</w:t>
      </w:r>
    </w:p>
    <w:p>
      <w:pPr>
        <w:spacing w:before="0" w:after="0"/>
        <w:ind w:left="567"/>
      </w:pPr>
      <w:r>
        <w:rPr>
          <w:rFonts w:ascii="Courier New" w:hAnsi="Courier New"/>
          <w:color w:val="333333"/>
          <w:sz w:val="17"/>
        </w:rPr>
        <w:t xml:space="preserve">                      └── Acceptance: No disparate impact; OCC review passed</w:t>
      </w:r>
    </w:p>
    <w:p>
      <w:pPr/>
      <w:r>
        <w:t>Every feature in the backlog traces back through this chain to a board-level strategic objective. No link in the chain is lost.</w:t>
      </w:r>
    </w:p>
    <w:p>
      <w:pPr>
        <w:pStyle w:val="Heading2"/>
      </w:pPr>
      <w:r>
        <w:t>Execution Summary</w:t>
      </w:r>
    </w:p>
    <w:tbl>
      <w:tblPr>
        <w:tblW w:type="auto" w:w="0"/>
        <w:jc w:val="center"/>
        <w:tblLayout w:type="autofit"/>
        <w:tblLook w:firstColumn="1" w:firstRow="1" w:lastColumn="0" w:lastRow="0" w:noHBand="0" w:noVBand="1" w:val="04A0"/>
      </w:tblPr>
      <w:tblGrid>
        <w:gridCol w:w="4680"/>
        <w:gridCol w:w="4680"/>
      </w:tblGrid>
      <w:tr>
        <w:tc>
          <w:tcPr>
            <w:tcW w:type="dxa" w:w="468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Metric</w:t>
            </w:r>
          </w:p>
        </w:tc>
        <w:tc>
          <w:tcPr>
            <w:tcW w:type="dxa" w:w="468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Value</w:t>
            </w:r>
          </w:p>
        </w:tc>
      </w:tr>
      <w:tr>
        <w:tc>
          <w:tcPr>
            <w:tcW w:type="dxa" w:w="468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Total elapsed time</w:t>
            </w:r>
          </w:p>
        </w:tc>
        <w:tc>
          <w:tcPr>
            <w:tcW w:type="dxa" w:w="468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~5 minutes</w:t>
            </w:r>
          </w:p>
        </w:tc>
      </w:tr>
      <w:tr>
        <w:tc>
          <w:tcPr>
            <w:tcW w:type="dxa" w:w="468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Total AI cost</w:t>
            </w:r>
          </w:p>
        </w:tc>
        <w:tc>
          <w:tcPr>
            <w:tcW w:type="dxa" w:w="468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~$0.05</w:t>
            </w:r>
          </w:p>
        </w:tc>
      </w:tr>
      <w:tr>
        <w:tc>
          <w:tcPr>
            <w:tcW w:type="dxa" w:w="468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Artifacts generated</w:t>
            </w:r>
          </w:p>
        </w:tc>
        <w:tc>
          <w:tcPr>
            <w:tcW w:type="dxa" w:w="468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200+</w:t>
            </w:r>
          </w:p>
        </w:tc>
      </w:tr>
      <w:tr>
        <w:tc>
          <w:tcPr>
            <w:tcW w:type="dxa" w:w="468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Human review gates</w:t>
            </w:r>
          </w:p>
        </w:tc>
        <w:tc>
          <w:tcPr>
            <w:tcW w:type="dxa" w:w="468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7 (with approve/reject workflow)</w:t>
            </w:r>
          </w:p>
        </w:tc>
      </w:tr>
      <w:tr>
        <w:tc>
          <w:tcPr>
            <w:tcW w:type="dxa" w:w="468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Strategy-to-feature traceability</w:t>
            </w:r>
          </w:p>
        </w:tc>
        <w:tc>
          <w:tcPr>
            <w:tcW w:type="dxa" w:w="468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100%</w:t>
            </w:r>
          </w:p>
        </w:tc>
      </w:tr>
    </w:tbl>
    <w:p/>
    <w:p>
      <w:pPr>
        <w:pStyle w:val="Heading1"/>
      </w:pPr>
      <w:r>
        <w:t>5. Quantitative Impact Analysis</w:t>
      </w:r>
    </w:p>
    <w:p>
      <w:pPr>
        <w:pStyle w:val="Heading2"/>
      </w:pPr>
      <w:r>
        <w:t>Time Savings by Phase</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Phase</w:t>
            </w:r>
          </w:p>
        </w:tc>
        <w:tc>
          <w:tcPr>
            <w:tcW w:type="dxa" w:w="234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Traditional Duration</w:t>
            </w:r>
          </w:p>
        </w:tc>
        <w:tc>
          <w:tcPr>
            <w:tcW w:type="dxa" w:w="234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BTA Duration</w:t>
            </w:r>
          </w:p>
        </w:tc>
        <w:tc>
          <w:tcPr>
            <w:tcW w:type="dxa" w:w="234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Time Saved</w:t>
            </w:r>
          </w:p>
        </w:tc>
      </w:tr>
      <w:tr>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Market &amp; Financial Analysis</w:t>
            </w:r>
          </w:p>
        </w:tc>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2-4 weeks</w:t>
            </w:r>
          </w:p>
        </w:tc>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30 seconds</w:t>
            </w:r>
          </w:p>
        </w:tc>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99.7%</w:t>
            </w:r>
          </w:p>
        </w:tc>
      </w:tr>
      <w:tr>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Value Stream Mapping</w:t>
            </w:r>
          </w:p>
        </w:tc>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4-8 weeks</w:t>
            </w:r>
          </w:p>
        </w:tc>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5-10 minutes</w:t>
            </w:r>
          </w:p>
        </w:tc>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99.5%</w:t>
            </w:r>
          </w:p>
        </w:tc>
      </w:tr>
      <w:tr>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SWOT &amp; TOWS Analysis</w:t>
            </w:r>
          </w:p>
        </w:tc>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1-2 weeks</w:t>
            </w:r>
          </w:p>
        </w:tc>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90 seconds</w:t>
            </w:r>
          </w:p>
        </w:tc>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99.2%</w:t>
            </w:r>
          </w:p>
        </w:tc>
      </w:tr>
      <w:tr>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Strategy &amp; OKR Definition</w:t>
            </w:r>
          </w:p>
        </w:tc>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4-12 weeks</w:t>
            </w:r>
          </w:p>
        </w:tc>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60 seconds</w:t>
            </w:r>
          </w:p>
        </w:tc>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99.6%</w:t>
            </w:r>
          </w:p>
        </w:tc>
      </w:tr>
      <w:tr>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Initiative &amp; RICE Prioritization</w:t>
            </w:r>
          </w:p>
        </w:tc>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2-4 weeks</w:t>
            </w:r>
          </w:p>
        </w:tc>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60 seconds</w:t>
            </w:r>
          </w:p>
        </w:tc>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99.4%</w:t>
            </w:r>
          </w:p>
        </w:tc>
      </w:tr>
      <w:tr>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Epic Decomposition &amp; Teams</w:t>
            </w:r>
          </w:p>
        </w:tc>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2-4 weeks</w:t>
            </w:r>
          </w:p>
        </w:tc>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90 seconds</w:t>
            </w:r>
          </w:p>
        </w:tc>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99.3%</w:t>
            </w:r>
          </w:p>
        </w:tc>
      </w:tr>
      <w:tr>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Feature Backlog Creation</w:t>
            </w:r>
          </w:p>
        </w:tc>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4-8 weeks</w:t>
            </w:r>
          </w:p>
        </w:tc>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45 seconds</w:t>
            </w:r>
          </w:p>
        </w:tc>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99.5%</w:t>
            </w:r>
          </w:p>
        </w:tc>
      </w:tr>
      <w:tr>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r>
            <w:r>
              <w:rPr>
                <w:rFonts w:ascii="Calibri" w:hAnsi="Calibri"/>
                <w:b/>
                <w:sz w:val="18"/>
              </w:rPr>
              <w:t>Total End-to-End</w:t>
            </w:r>
            <w:r>
              <w:rPr>
                <w:rFonts w:ascii="Calibri" w:hAnsi="Calibri"/>
                <w:sz w:val="18"/>
              </w:rPr>
            </w:r>
          </w:p>
        </w:tc>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r>
            <w:r>
              <w:rPr>
                <w:rFonts w:ascii="Calibri" w:hAnsi="Calibri"/>
                <w:b/>
                <w:sz w:val="18"/>
              </w:rPr>
              <w:t>5-10 months</w:t>
            </w:r>
            <w:r>
              <w:rPr>
                <w:rFonts w:ascii="Calibri" w:hAnsi="Calibri"/>
                <w:sz w:val="18"/>
              </w:rPr>
            </w:r>
          </w:p>
        </w:tc>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r>
            <w:r>
              <w:rPr>
                <w:rFonts w:ascii="Calibri" w:hAnsi="Calibri"/>
                <w:b/>
                <w:sz w:val="18"/>
              </w:rPr>
              <w:t>~5 minutes</w:t>
            </w:r>
            <w:r>
              <w:rPr>
                <w:rFonts w:ascii="Calibri" w:hAnsi="Calibri"/>
                <w:sz w:val="18"/>
              </w:rPr>
            </w:r>
          </w:p>
        </w:tc>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r>
            <w:r>
              <w:rPr>
                <w:rFonts w:ascii="Calibri" w:hAnsi="Calibri"/>
                <w:b/>
                <w:sz w:val="18"/>
              </w:rPr>
              <w:t>~99.9%</w:t>
            </w:r>
            <w:r>
              <w:rPr>
                <w:rFonts w:ascii="Calibri" w:hAnsi="Calibri"/>
                <w:sz w:val="18"/>
              </w:rPr>
            </w:r>
          </w:p>
        </w:tc>
      </w:tr>
    </w:tbl>
    <w:p/>
    <w:p>
      <w:pPr>
        <w:pStyle w:val="Heading2"/>
      </w:pPr>
      <w:r>
        <w:t>Cost Savings by Phase</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Phase</w:t>
            </w:r>
          </w:p>
        </w:tc>
        <w:tc>
          <w:tcPr>
            <w:tcW w:type="dxa" w:w="234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Traditional Cost</w:t>
            </w:r>
          </w:p>
        </w:tc>
        <w:tc>
          <w:tcPr>
            <w:tcW w:type="dxa" w:w="234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BTA Cost</w:t>
            </w:r>
          </w:p>
        </w:tc>
        <w:tc>
          <w:tcPr>
            <w:tcW w:type="dxa" w:w="234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Savings</w:t>
            </w:r>
          </w:p>
        </w:tc>
      </w:tr>
      <w:tr>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Market Analysis</w:t>
            </w:r>
          </w:p>
        </w:tc>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$15,000-50,000</w:t>
            </w:r>
          </w:p>
        </w:tc>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$0.01-0.02</w:t>
            </w:r>
          </w:p>
        </w:tc>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99.99%</w:t>
            </w:r>
          </w:p>
        </w:tc>
      </w:tr>
      <w:tr>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Value Stream Mapping</w:t>
            </w:r>
          </w:p>
        </w:tc>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$20,000-80,000</w:t>
            </w:r>
          </w:p>
        </w:tc>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$0.02-0.05</w:t>
            </w:r>
          </w:p>
        </w:tc>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99.99%</w:t>
            </w:r>
          </w:p>
        </w:tc>
      </w:tr>
      <w:tr>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SWOT Facilitation</w:t>
            </w:r>
          </w:p>
        </w:tc>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$10,000-30,000</w:t>
            </w:r>
          </w:p>
        </w:tc>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$0.01-0.02</w:t>
            </w:r>
          </w:p>
        </w:tc>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99.99%</w:t>
            </w:r>
          </w:p>
        </w:tc>
      </w:tr>
      <w:tr>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Strategy Consulting</w:t>
            </w:r>
          </w:p>
        </w:tc>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$50,000-200,000</w:t>
            </w:r>
          </w:p>
        </w:tc>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$0.02-0.05</w:t>
            </w:r>
          </w:p>
        </w:tc>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99.99%</w:t>
            </w:r>
          </w:p>
        </w:tc>
      </w:tr>
      <w:tr>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Product Strategy</w:t>
            </w:r>
          </w:p>
        </w:tc>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$15,000-40,000</w:t>
            </w:r>
          </w:p>
        </w:tc>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$0.01-0.03</w:t>
            </w:r>
          </w:p>
        </w:tc>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99.99%</w:t>
            </w:r>
          </w:p>
        </w:tc>
      </w:tr>
      <w:tr>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Agile Transformation</w:t>
            </w:r>
          </w:p>
        </w:tc>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$20,000-60,000</w:t>
            </w:r>
          </w:p>
        </w:tc>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$0.02-0.04</w:t>
            </w:r>
          </w:p>
        </w:tc>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99.99%</w:t>
            </w:r>
          </w:p>
        </w:tc>
      </w:tr>
      <w:tr>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Backlog Creation</w:t>
            </w:r>
          </w:p>
        </w:tc>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$30,000-80,000</w:t>
            </w:r>
          </w:p>
        </w:tc>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$0.01-0.03</w:t>
            </w:r>
          </w:p>
        </w:tc>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99.99%</w:t>
            </w:r>
          </w:p>
        </w:tc>
      </w:tr>
      <w:tr>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r>
            <w:r>
              <w:rPr>
                <w:rFonts w:ascii="Calibri" w:hAnsi="Calibri"/>
                <w:b/>
                <w:sz w:val="18"/>
              </w:rPr>
              <w:t>Total</w:t>
            </w:r>
            <w:r>
              <w:rPr>
                <w:rFonts w:ascii="Calibri" w:hAnsi="Calibri"/>
                <w:sz w:val="18"/>
              </w:rPr>
            </w:r>
          </w:p>
        </w:tc>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r>
            <w:r>
              <w:rPr>
                <w:rFonts w:ascii="Calibri" w:hAnsi="Calibri"/>
                <w:b/>
                <w:sz w:val="18"/>
              </w:rPr>
              <w:t>$160,000-540,000</w:t>
            </w:r>
            <w:r>
              <w:rPr>
                <w:rFonts w:ascii="Calibri" w:hAnsi="Calibri"/>
                <w:sz w:val="18"/>
              </w:rPr>
            </w:r>
          </w:p>
        </w:tc>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r>
            <w:r>
              <w:rPr>
                <w:rFonts w:ascii="Calibri" w:hAnsi="Calibri"/>
                <w:b/>
                <w:sz w:val="18"/>
              </w:rPr>
              <w:t>$0.10-0.24</w:t>
            </w:r>
            <w:r>
              <w:rPr>
                <w:rFonts w:ascii="Calibri" w:hAnsi="Calibri"/>
                <w:sz w:val="18"/>
              </w:rPr>
            </w:r>
          </w:p>
        </w:tc>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r>
            <w:r>
              <w:rPr>
                <w:rFonts w:ascii="Calibri" w:hAnsi="Calibri"/>
                <w:b/>
                <w:sz w:val="18"/>
              </w:rPr>
              <w:t>~99.99%</w:t>
            </w:r>
            <w:r>
              <w:rPr>
                <w:rFonts w:ascii="Calibri" w:hAnsi="Calibri"/>
                <w:sz w:val="18"/>
              </w:rPr>
            </w:r>
          </w:p>
        </w:tc>
      </w:tr>
    </w:tbl>
    <w:p/>
    <w:p>
      <w:pPr>
        <w:pStyle w:val="Heading2"/>
      </w:pPr>
      <w:r>
        <w:t>Stakeholder Time Freed</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Activity</w:t>
            </w:r>
          </w:p>
        </w:tc>
        <w:tc>
          <w:tcPr>
            <w:tcW w:type="dxa" w:w="234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Traditional Hours</w:t>
            </w:r>
          </w:p>
        </w:tc>
        <w:tc>
          <w:tcPr>
            <w:tcW w:type="dxa" w:w="234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BTA Hours</w:t>
            </w:r>
          </w:p>
        </w:tc>
        <w:tc>
          <w:tcPr>
            <w:tcW w:type="dxa" w:w="234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Hours Saved</w:t>
            </w:r>
          </w:p>
        </w:tc>
      </w:tr>
      <w:tr>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Workshop facilitation</w:t>
            </w:r>
          </w:p>
        </w:tc>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40-80 hrs</w:t>
            </w:r>
          </w:p>
        </w:tc>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0 hrs</w:t>
            </w:r>
          </w:p>
        </w:tc>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40-80 hrs</w:t>
            </w:r>
          </w:p>
        </w:tc>
      </w:tr>
      <w:tr>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Stakeholder interviews</w:t>
            </w:r>
          </w:p>
        </w:tc>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20-40 hrs</w:t>
            </w:r>
          </w:p>
        </w:tc>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0 hrs</w:t>
            </w:r>
          </w:p>
        </w:tc>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20-40 hrs</w:t>
            </w:r>
          </w:p>
        </w:tc>
      </w:tr>
      <w:tr>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Executive strategy sessions</w:t>
            </w:r>
          </w:p>
        </w:tc>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16-40 hrs</w:t>
            </w:r>
          </w:p>
        </w:tc>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1-2 hrs (review only)</w:t>
            </w:r>
          </w:p>
        </w:tc>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15-38 hrs</w:t>
            </w:r>
          </w:p>
        </w:tc>
      </w:tr>
      <w:tr>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Story writing &amp; refinement</w:t>
            </w:r>
          </w:p>
        </w:tc>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80-160 hrs</w:t>
            </w:r>
          </w:p>
        </w:tc>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2-4 hrs (review only)</w:t>
            </w:r>
          </w:p>
        </w:tc>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78-156 hrs</w:t>
            </w:r>
          </w:p>
        </w:tc>
      </w:tr>
      <w:tr>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PI planning / story mapping</w:t>
            </w:r>
          </w:p>
        </w:tc>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40-80 hrs</w:t>
            </w:r>
          </w:p>
        </w:tc>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1-2 hrs (review only)</w:t>
            </w:r>
          </w:p>
        </w:tc>
        <w:tc>
          <w:tcPr>
            <w:tcW w:type="dxa" w:w="234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39-78 hrs</w:t>
            </w:r>
          </w:p>
        </w:tc>
      </w:tr>
      <w:tr>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r>
            <w:r>
              <w:rPr>
                <w:rFonts w:ascii="Calibri" w:hAnsi="Calibri"/>
                <w:b/>
                <w:sz w:val="18"/>
              </w:rPr>
              <w:t>Total</w:t>
            </w:r>
            <w:r>
              <w:rPr>
                <w:rFonts w:ascii="Calibri" w:hAnsi="Calibri"/>
                <w:sz w:val="18"/>
              </w:rPr>
            </w:r>
          </w:p>
        </w:tc>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r>
            <w:r>
              <w:rPr>
                <w:rFonts w:ascii="Calibri" w:hAnsi="Calibri"/>
                <w:b/>
                <w:sz w:val="18"/>
              </w:rPr>
              <w:t>196-400 hrs</w:t>
            </w:r>
            <w:r>
              <w:rPr>
                <w:rFonts w:ascii="Calibri" w:hAnsi="Calibri"/>
                <w:sz w:val="18"/>
              </w:rPr>
            </w:r>
          </w:p>
        </w:tc>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r>
            <w:r>
              <w:rPr>
                <w:rFonts w:ascii="Calibri" w:hAnsi="Calibri"/>
                <w:b/>
                <w:sz w:val="18"/>
              </w:rPr>
              <w:t>4-8 hrs</w:t>
            </w:r>
            <w:r>
              <w:rPr>
                <w:rFonts w:ascii="Calibri" w:hAnsi="Calibri"/>
                <w:sz w:val="18"/>
              </w:rPr>
            </w:r>
          </w:p>
        </w:tc>
        <w:tc>
          <w:tcPr>
            <w:tcW w:type="dxa" w:w="234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r>
            <w:r>
              <w:rPr>
                <w:rFonts w:ascii="Calibri" w:hAnsi="Calibri"/>
                <w:b/>
                <w:sz w:val="18"/>
              </w:rPr>
              <w:t>192-392 hrs</w:t>
            </w:r>
            <w:r>
              <w:rPr>
                <w:rFonts w:ascii="Calibri" w:hAnsi="Calibri"/>
                <w:sz w:val="18"/>
              </w:rPr>
            </w:r>
          </w:p>
        </w:tc>
      </w:tr>
    </w:tbl>
    <w:p/>
    <w:p>
      <w:pPr>
        <w:pStyle w:val="Heading2"/>
      </w:pPr>
      <w:r>
        <w:t>Output Volume Comparison</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Artifact Category</w:t>
            </w:r>
          </w:p>
        </w:tc>
        <w:tc>
          <w:tcPr>
            <w:tcW w:type="dxa" w:w="312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BTA Output (US Bancorp)</w:t>
            </w:r>
          </w:p>
        </w:tc>
        <w:tc>
          <w:tcPr>
            <w:tcW w:type="dxa" w:w="312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Traditional Output</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Financial KPIs extracted</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20+ metrics</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5-8 manually selected</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Competitor profiles</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3 with full financials</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1-2 qualitative summaries</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Value streams mapped</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4 streams, 17 steps</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2-3 streams over 4-8 weeks</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SWOT entries</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16 with severity scores</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12-16 without scoring</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TOWS strategic actions</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6 prioritized</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Often skipped entirely</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Strategies (4 layers)</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6 strategies</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2-3 strategies (1-2 layers)</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Strategic OKRs</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6 with 13 key results</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3-5 with vague targets</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Digital initiatives (RICE)</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8 quantitatively scored</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5-8 subjectively ranked</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Product groups &amp; products</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4 groups, 6 products</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Usually absent</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Cross-functional teams</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6 with capacity</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Months of org design</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Epics with estimates</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8 with dependencies</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Created weeks later</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Product OKRs</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4 team-level objectives</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Almost never created</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Sprint-ready features</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15 with acceptance criteria</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4-8 weeks to create</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Delivery OKRs</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4 per-team sprint goals</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Almost never created</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r>
            <w:r>
              <w:rPr>
                <w:rFonts w:ascii="Calibri" w:hAnsi="Calibri"/>
                <w:b/>
                <w:sz w:val="18"/>
              </w:rPr>
              <w:t>Total Artifacts</w:t>
            </w:r>
            <w:r>
              <w:rPr>
                <w:rFonts w:ascii="Calibri" w:hAnsi="Calibri"/>
                <w:sz w:val="18"/>
              </w:rPr>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r>
            <w:r>
              <w:rPr>
                <w:rFonts w:ascii="Calibri" w:hAnsi="Calibri"/>
                <w:b/>
                <w:sz w:val="18"/>
              </w:rPr>
              <w:t>200+ interconnected</w:t>
            </w:r>
            <w:r>
              <w:rPr>
                <w:rFonts w:ascii="Calibri" w:hAnsi="Calibri"/>
                <w:sz w:val="18"/>
              </w:rPr>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r>
            <w:r>
              <w:rPr>
                <w:rFonts w:ascii="Calibri" w:hAnsi="Calibri"/>
                <w:b/>
                <w:sz w:val="18"/>
              </w:rPr>
              <w:t>~50-80, disconnected</w:t>
            </w:r>
            <w:r>
              <w:rPr>
                <w:rFonts w:ascii="Calibri" w:hAnsi="Calibri"/>
                <w:sz w:val="18"/>
              </w:rPr>
            </w:r>
          </w:p>
        </w:tc>
      </w:tr>
    </w:tbl>
    <w:p/>
    <w:p>
      <w:pPr>
        <w:pStyle w:val="Heading1"/>
      </w:pPr>
      <w:r>
        <w:t>6. Key Differentiators</w:t>
      </w:r>
    </w:p>
    <w:p>
      <w:pPr>
        <w:pStyle w:val="Heading2"/>
      </w:pPr>
      <w:r>
        <w:t>Data-Driven vs. Opinion-Driven</w:t>
      </w:r>
    </w:p>
    <w:p>
      <w:pPr/>
      <w:r>
        <w:t>Every entry in the BTA platform cites its data source. SWOT strengths reference specific financial metrics (e.g., "Efficiency ratio 61.2% vs JPM 55%"). OKR targets are computed from baselines (current: 40% auto-underwriting) to industry benchmarks (target: 70%) to competitor best-in-class data. RICE scores are formula-driven: Reach x Impact x Confidence / Effort.</w:t>
      </w:r>
    </w:p>
    <w:p>
      <w:pPr/>
      <w:r>
        <w:t>In traditional workshops, SWOT entries reflect who speaks loudest in the room. OKR targets are "let's aim for 20% improvement" without baseline data. Priorities are determined by executive preference or organizational politics.</w:t>
      </w:r>
    </w:p>
    <w:p>
      <w:pPr>
        <w:pStyle w:val="Heading2"/>
      </w:pPr>
      <w:r>
        <w:t>4-Layer Strategy Model</w:t>
      </w:r>
    </w:p>
    <w:p>
      <w:pPr/>
      <w:r>
        <w:t>Traditional strategy consulting addresses 1-2 layers — typically business strategy and sometimes digital strategy. Data strategy and Gen AI strategy are rarely formulated, despite being critical to modern banking transformation.</w:t>
      </w:r>
    </w:p>
    <w:p>
      <w:pPr/>
      <w:r>
        <w:t xml:space="preserve">BTA always generates strategies across all 4 layers: </w:t>
      </w:r>
      <w:r>
        <w:rPr>
          <w:b/>
        </w:rPr>
        <w:t>Business + Digital + Data + Gen AI</w:t>
      </w:r>
      <w:r>
        <w:t>. Cross-layer alignment notes show how each layer reinforces the others. In the US Bancorp case, the Data layer strategy (Unified Customer Intelligence Platform) directly enables the Gen AI layer strategy (Banking Operations Copilot), which in turn drives the Digital layer strategy (AI-First Operations).</w:t>
      </w:r>
    </w:p>
    <w:p>
      <w:pPr>
        <w:pStyle w:val="Heading2"/>
      </w:pPr>
      <w:r>
        <w:t>Quantitative RICE Prioritization</w:t>
      </w:r>
    </w:p>
    <w:p>
      <w:pPr/>
      <w:r>
        <w:t>Initiative prioritization in most organizations is qualitative at best — MoSCoW, dot voting, or simply executive decree. BTA applies standardized RICE scoring where Reach is measured in affected users or transactions, Impact is scored against strategic alignment, Confidence reflects data availability, and Effort is estimated from scope analysis.</w:t>
      </w:r>
    </w:p>
    <w:p>
      <w:pPr/>
      <w:r>
        <w:t>The formula determines roadmap phasing algorithmically: Quick Win (RICE &gt; 5, Effort &lt; 3) to Strategic (RICE 2-5) to Long Term (RICE &lt; 2). No politics required.</w:t>
      </w:r>
    </w:p>
    <w:p>
      <w:pPr>
        <w:pStyle w:val="Heading2"/>
      </w:pPr>
      <w:r>
        <w:t>Complete OKR Cascade</w:t>
      </w:r>
    </w:p>
    <w:p>
      <w:pPr/>
      <w:r>
        <w:t>Traditional transformations rarely achieve OKR alignment beyond the strategic level. BTA generates a three-tier cascade:</w:t>
      </w:r>
    </w:p>
    <w:p>
      <w:pPr>
        <w:pStyle w:val="ListNumber"/>
      </w:pPr>
      <w:r/>
      <w:r>
        <w:rPr>
          <w:b/>
        </w:rPr>
        <w:t>Strategic OKRs</w:t>
      </w:r>
      <w:r>
        <w:t xml:space="preserve"> — Board-level objectives (e.g., "Reduce efficiency ratio to 55%")</w:t>
      </w:r>
    </w:p>
    <w:p>
      <w:pPr>
        <w:pStyle w:val="ListNumber"/>
      </w:pPr>
      <w:r/>
      <w:r>
        <w:rPr>
          <w:b/>
        </w:rPr>
        <w:t>Product OKRs</w:t>
      </w:r>
      <w:r>
        <w:t xml:space="preserve"> — Team-level objectives (e.g., "Achieve 70% auto-decision rate for conforming mortgages")</w:t>
      </w:r>
    </w:p>
    <w:p>
      <w:pPr>
        <w:pStyle w:val="ListNumber"/>
      </w:pPr>
      <w:r/>
      <w:r>
        <w:rPr>
          <w:b/>
        </w:rPr>
        <w:t>Delivery OKRs</w:t>
      </w:r>
      <w:r>
        <w:t xml:space="preserve"> — Sprint-level goals (e.g., "Deploy model with &lt;0.5% adverse action error rate")</w:t>
      </w:r>
    </w:p>
    <w:p>
      <w:pPr/>
      <w:r>
        <w:t>Each level traces to the one above, ensuring every team's sprint goals ladder up to a strategic objective.</w:t>
      </w:r>
    </w:p>
    <w:p>
      <w:pPr>
        <w:pStyle w:val="Heading2"/>
      </w:pPr>
      <w:r>
        <w:t>End-to-End Traceability</w:t>
      </w:r>
    </w:p>
    <w:p>
      <w:pPr>
        <w:spacing w:before="0" w:after="0"/>
        <w:ind w:left="567"/>
      </w:pPr>
      <w:r>
        <w:rPr>
          <w:rFonts w:ascii="Courier New" w:hAnsi="Courier New"/>
          <w:color w:val="333333"/>
          <w:sz w:val="17"/>
        </w:rPr>
        <w:t>Traditional:</w:t>
      </w:r>
    </w:p>
    <w:p>
      <w:pPr>
        <w:spacing w:before="0" w:after="0"/>
        <w:ind w:left="567"/>
      </w:pPr>
      <w:r>
        <w:rPr>
          <w:rFonts w:ascii="Courier New" w:hAnsi="Courier New"/>
          <w:color w:val="333333"/>
          <w:sz w:val="17"/>
        </w:rPr>
        <w:t xml:space="preserve">  Strategy deck (PowerPoint) → ??? → Jira backlog</w:t>
      </w:r>
    </w:p>
    <w:p>
      <w:pPr>
        <w:spacing w:before="0" w:after="0"/>
        <w:ind w:left="567"/>
      </w:pPr>
      <w:r>
        <w:rPr>
          <w:rFonts w:ascii="Courier New" w:hAnsi="Courier New"/>
          <w:color w:val="333333"/>
          <w:sz w:val="17"/>
        </w:rPr>
        <w:t xml:space="preserve">  (No traceable link between strategy and features)</w:t>
      </w:r>
    </w:p>
    <w:p>
      <w:pPr>
        <w:spacing w:before="0" w:after="0"/>
        <w:ind w:left="567"/>
      </w:pPr>
      <w:r>
        <w:rPr>
          <w:rFonts w:ascii="Courier New" w:hAnsi="Courier New"/>
          <w:color w:val="333333"/>
          <w:sz w:val="17"/>
        </w:rPr>
      </w:r>
    </w:p>
    <w:p>
      <w:pPr>
        <w:spacing w:before="0" w:after="0"/>
        <w:ind w:left="567"/>
      </w:pPr>
      <w:r>
        <w:rPr>
          <w:rFonts w:ascii="Courier New" w:hAnsi="Courier New"/>
          <w:color w:val="333333"/>
          <w:sz w:val="17"/>
        </w:rPr>
        <w:t>BTA:</w:t>
      </w:r>
    </w:p>
    <w:p>
      <w:pPr>
        <w:spacing w:before="0" w:after="0"/>
        <w:ind w:left="567"/>
      </w:pPr>
      <w:r>
        <w:rPr>
          <w:rFonts w:ascii="Courier New" w:hAnsi="Courier New"/>
          <w:color w:val="333333"/>
          <w:sz w:val="17"/>
        </w:rPr>
        <w:t xml:space="preserve">  Strategy → OKR → Initiative → Epic → Feature → Acceptance Criteria</w:t>
      </w:r>
    </w:p>
    <w:p>
      <w:pPr>
        <w:spacing w:before="0" w:after="0"/>
        <w:ind w:left="567"/>
      </w:pPr>
      <w:r>
        <w:rPr>
          <w:rFonts w:ascii="Courier New" w:hAnsi="Courier New"/>
          <w:color w:val="333333"/>
          <w:sz w:val="17"/>
        </w:rPr>
        <w:t xml:space="preserve">  (Every feature traces back to a strategic objective)</w:t>
      </w:r>
    </w:p>
    <w:p>
      <w:pPr>
        <w:pStyle w:val="Heading2"/>
      </w:pPr>
      <w:r>
        <w:t>Iterative Refinement at Near-Zero Cost</w:t>
      </w:r>
    </w:p>
    <w:p>
      <w:pPr/>
      <w:r>
        <w:t>When market conditions change, a traditional consulting re-engagement costs $50,000+ and takes weeks. With BTA, regenerating any step costs $0.01-0.05 and takes seconds. A bank can re-run its entire transformation analysis quarterly, weekly, or on-demand — turning transformation planning from a periodic event into a continuous capability.</w:t>
      </w:r>
    </w:p>
    <w:p>
      <w:pPr>
        <w:pStyle w:val="Heading1"/>
      </w:pPr>
      <w:r>
        <w:t>7. Architecture: How the Agents Collaborate</w:t>
      </w:r>
    </w:p>
    <w:p>
      <w:pPr>
        <w:pStyle w:val="Heading2"/>
      </w:pPr>
      <w:r>
        <w:t>Data Flow</w:t>
      </w:r>
    </w:p>
    <w:p>
      <w:pPr>
        <w:spacing w:before="0" w:after="0"/>
        <w:ind w:left="567"/>
      </w:pPr>
      <w:r>
        <w:rPr>
          <w:rFonts w:ascii="Courier New" w:hAnsi="Courier New"/>
          <w:color w:val="333333"/>
          <w:sz w:val="17"/>
        </w:rPr>
        <w:t>┌──────────────────────────────────────────────────────────────┐</w:t>
      </w:r>
    </w:p>
    <w:p>
      <w:pPr>
        <w:spacing w:before="0" w:after="0"/>
        <w:ind w:left="567"/>
      </w:pPr>
      <w:r>
        <w:rPr>
          <w:rFonts w:ascii="Courier New" w:hAnsi="Courier New"/>
          <w:color w:val="333333"/>
          <w:sz w:val="17"/>
        </w:rPr>
        <w:t>│                    RAG Knowledge Base                         │</w:t>
      </w:r>
    </w:p>
    <w:p>
      <w:pPr>
        <w:spacing w:before="0" w:after="0"/>
        <w:ind w:left="567"/>
      </w:pPr>
      <w:r>
        <w:rPr>
          <w:rFonts w:ascii="Courier New" w:hAnsi="Courier New"/>
          <w:color w:val="333333"/>
          <w:sz w:val="17"/>
        </w:rPr>
        <w:t>│  (Org docs, industry reports, regulatory guidance)           │</w:t>
      </w:r>
    </w:p>
    <w:p>
      <w:pPr>
        <w:spacing w:before="0" w:after="0"/>
        <w:ind w:left="567"/>
      </w:pPr>
      <w:r>
        <w:rPr>
          <w:rFonts w:ascii="Courier New" w:hAnsi="Courier New"/>
          <w:color w:val="333333"/>
          <w:sz w:val="17"/>
        </w:rPr>
        <w:t>└──────────────┬───────────────────────────────────────────────┘</w:t>
      </w:r>
    </w:p>
    <w:p>
      <w:pPr>
        <w:spacing w:before="0" w:after="0"/>
        <w:ind w:left="567"/>
      </w:pPr>
      <w:r>
        <w:rPr>
          <w:rFonts w:ascii="Courier New" w:hAnsi="Courier New"/>
          <w:color w:val="333333"/>
          <w:sz w:val="17"/>
        </w:rPr>
        <w:t xml:space="preserve">               │ Context injection at every step</w:t>
      </w:r>
    </w:p>
    <w:p>
      <w:pPr>
        <w:spacing w:before="0" w:after="0"/>
        <w:ind w:left="567"/>
      </w:pPr>
      <w:r>
        <w:rPr>
          <w:rFonts w:ascii="Courier New" w:hAnsi="Courier New"/>
          <w:color w:val="333333"/>
          <w:sz w:val="17"/>
        </w:rPr>
        <w:t xml:space="preserve">               ▼</w:t>
      </w:r>
    </w:p>
    <w:p>
      <w:pPr>
        <w:spacing w:before="0" w:after="0"/>
        <w:ind w:left="567"/>
      </w:pPr>
      <w:r>
        <w:rPr>
          <w:rFonts w:ascii="Courier New" w:hAnsi="Courier New"/>
          <w:color w:val="333333"/>
          <w:sz w:val="17"/>
        </w:rPr>
        <w:t>┌──────────┐  ┌──────────┐  ┌──────────┐  ┌──────────┐</w:t>
      </w:r>
    </w:p>
    <w:p>
      <w:pPr>
        <w:spacing w:before="0" w:after="0"/>
        <w:ind w:left="567"/>
      </w:pPr>
      <w:r>
        <w:rPr>
          <w:rFonts w:ascii="Courier New" w:hAnsi="Courier New"/>
          <w:color w:val="333333"/>
          <w:sz w:val="17"/>
        </w:rPr>
        <w:t>│  Step 1  │→│  Step 2  │→│  Step 3  │→│  Step 4  │</w:t>
      </w:r>
    </w:p>
    <w:p>
      <w:pPr>
        <w:spacing w:before="0" w:after="0"/>
        <w:ind w:left="567"/>
      </w:pPr>
      <w:r>
        <w:rPr>
          <w:rFonts w:ascii="Courier New" w:hAnsi="Courier New"/>
          <w:color w:val="333333"/>
          <w:sz w:val="17"/>
        </w:rPr>
        <w:t>│ Financial│  │  Value   │  │ SWOT →   │  │ Strategy │</w:t>
      </w:r>
    </w:p>
    <w:p>
      <w:pPr>
        <w:spacing w:before="0" w:after="0"/>
        <w:ind w:left="567"/>
      </w:pPr>
      <w:r>
        <w:rPr>
          <w:rFonts w:ascii="Courier New" w:hAnsi="Courier New"/>
          <w:color w:val="333333"/>
          <w:sz w:val="17"/>
        </w:rPr>
        <w:t>│ Analysis │  │ Streams  │  │  TOWS    │  │  &amp; OKRs  │</w:t>
      </w:r>
    </w:p>
    <w:p>
      <w:pPr>
        <w:spacing w:before="0" w:after="0"/>
        <w:ind w:left="567"/>
      </w:pPr>
      <w:r>
        <w:rPr>
          <w:rFonts w:ascii="Courier New" w:hAnsi="Courier New"/>
          <w:color w:val="333333"/>
          <w:sz w:val="17"/>
        </w:rPr>
        <w:t>└────┬─────┘  └────┬─────┘  └────┬─────┘  └────┬─────┘</w:t>
      </w:r>
    </w:p>
    <w:p>
      <w:pPr>
        <w:spacing w:before="0" w:after="0"/>
        <w:ind w:left="567"/>
      </w:pPr>
      <w:r>
        <w:rPr>
          <w:rFonts w:ascii="Courier New" w:hAnsi="Courier New"/>
          <w:color w:val="333333"/>
          <w:sz w:val="17"/>
        </w:rPr>
        <w:t xml:space="preserve">     │ Review       │ Review       │ Review       │ Review</w:t>
      </w:r>
    </w:p>
    <w:p>
      <w:pPr>
        <w:spacing w:before="0" w:after="0"/>
        <w:ind w:left="567"/>
      </w:pPr>
      <w:r>
        <w:rPr>
          <w:rFonts w:ascii="Courier New" w:hAnsi="Courier New"/>
          <w:color w:val="333333"/>
          <w:sz w:val="17"/>
        </w:rPr>
        <w:t xml:space="preserve">     │ Gate ✓       │ Gate ✓       │ Gate ✓       │ Gate ✓</w:t>
      </w:r>
    </w:p>
    <w:p>
      <w:pPr>
        <w:spacing w:before="0" w:after="0"/>
        <w:ind w:left="567"/>
      </w:pPr>
      <w:r>
        <w:rPr>
          <w:rFonts w:ascii="Courier New" w:hAnsi="Courier New"/>
          <w:color w:val="333333"/>
          <w:sz w:val="17"/>
        </w:rPr>
        <w:t xml:space="preserve">     ▼              ▼              ▼              ▼</w:t>
      </w:r>
    </w:p>
    <w:p>
      <w:pPr>
        <w:spacing w:before="0" w:after="0"/>
        <w:ind w:left="567"/>
      </w:pPr>
      <w:r>
        <w:rPr>
          <w:rFonts w:ascii="Courier New" w:hAnsi="Courier New"/>
          <w:color w:val="333333"/>
          <w:sz w:val="17"/>
        </w:rPr>
        <w:t>┌──────────┐  ┌──────────┐  ┌──────────┐</w:t>
      </w:r>
    </w:p>
    <w:p>
      <w:pPr>
        <w:spacing w:before="0" w:after="0"/>
        <w:ind w:left="567"/>
      </w:pPr>
      <w:r>
        <w:rPr>
          <w:rFonts w:ascii="Courier New" w:hAnsi="Courier New"/>
          <w:color w:val="333333"/>
          <w:sz w:val="17"/>
        </w:rPr>
        <w:t>│  Step 5  │→│  Step 6  │→│  Step 7  │</w:t>
      </w:r>
    </w:p>
    <w:p>
      <w:pPr>
        <w:spacing w:before="0" w:after="0"/>
        <w:ind w:left="567"/>
      </w:pPr>
      <w:r>
        <w:rPr>
          <w:rFonts w:ascii="Courier New" w:hAnsi="Courier New"/>
          <w:color w:val="333333"/>
          <w:sz w:val="17"/>
        </w:rPr>
        <w:t>│Initiatives│ │  Epics &amp; │  │ Features │</w:t>
      </w:r>
    </w:p>
    <w:p>
      <w:pPr>
        <w:spacing w:before="0" w:after="0"/>
        <w:ind w:left="567"/>
      </w:pPr>
      <w:r>
        <w:rPr>
          <w:rFonts w:ascii="Courier New" w:hAnsi="Courier New"/>
          <w:color w:val="333333"/>
          <w:sz w:val="17"/>
        </w:rPr>
        <w:t>│  &amp; RICE  │  │  Teams   │  │&amp; Backlog │</w:t>
      </w:r>
    </w:p>
    <w:p>
      <w:pPr>
        <w:spacing w:before="0" w:after="0"/>
        <w:ind w:left="567"/>
      </w:pPr>
      <w:r>
        <w:rPr>
          <w:rFonts w:ascii="Courier New" w:hAnsi="Courier New"/>
          <w:color w:val="333333"/>
          <w:sz w:val="17"/>
        </w:rPr>
        <w:t>└────┬─────┘  └────┬─────┘  └────┬─────┘</w:t>
      </w:r>
    </w:p>
    <w:p>
      <w:pPr>
        <w:spacing w:before="0" w:after="0"/>
        <w:ind w:left="567"/>
      </w:pPr>
      <w:r>
        <w:rPr>
          <w:rFonts w:ascii="Courier New" w:hAnsi="Courier New"/>
          <w:color w:val="333333"/>
          <w:sz w:val="17"/>
        </w:rPr>
        <w:t xml:space="preserve">     │ Review       │ Review       │ Review</w:t>
      </w:r>
    </w:p>
    <w:p>
      <w:pPr>
        <w:spacing w:before="0" w:after="0"/>
        <w:ind w:left="567"/>
      </w:pPr>
      <w:r>
        <w:rPr>
          <w:rFonts w:ascii="Courier New" w:hAnsi="Courier New"/>
          <w:color w:val="333333"/>
          <w:sz w:val="17"/>
        </w:rPr>
        <w:t xml:space="preserve">     │ Gate ✓       │ Gate ✓       │ Gate ✓</w:t>
      </w:r>
    </w:p>
    <w:p>
      <w:pPr>
        <w:spacing w:before="0" w:after="0"/>
        <w:ind w:left="567"/>
      </w:pPr>
      <w:r>
        <w:rPr>
          <w:rFonts w:ascii="Courier New" w:hAnsi="Courier New"/>
          <w:color w:val="333333"/>
          <w:sz w:val="17"/>
        </w:rPr>
        <w:t xml:space="preserve">     ▼              ▼              ▼</w:t>
      </w:r>
    </w:p>
    <w:p>
      <w:pPr>
        <w:spacing w:before="0" w:after="0"/>
        <w:ind w:left="567"/>
      </w:pPr>
      <w:r>
        <w:rPr>
          <w:rFonts w:ascii="Courier New" w:hAnsi="Courier New"/>
          <w:color w:val="333333"/>
          <w:sz w:val="17"/>
        </w:rPr>
        <w:t xml:space="preserve">          Sprint-Ready Delivery Plan</w:t>
      </w:r>
    </w:p>
    <w:p>
      <w:pPr>
        <w:pStyle w:val="Heading2"/>
      </w:pPr>
      <w:r>
        <w:t>Agent Handoff Pattern</w:t>
      </w:r>
    </w:p>
    <w:p>
      <w:pPr/>
      <w:r>
        <w:t>Each agent's output becomes the next agent's structured context. The Step 3 SWOT agent, for example, receives:</w:t>
      </w:r>
    </w:p>
    <w:p>
      <w:pPr>
        <w:pStyle w:val="ListBullet"/>
      </w:pPr>
      <w:r>
        <w:t>Financial KPIs and competitor benchmarks from Step 1</w:t>
      </w:r>
    </w:p>
    <w:p>
      <w:pPr>
        <w:pStyle w:val="ListBullet"/>
      </w:pPr>
      <w:r>
        <w:t>Value stream bottlenecks and improvement levers from Step 2</w:t>
      </w:r>
    </w:p>
    <w:p>
      <w:pPr>
        <w:pStyle w:val="ListBullet"/>
      </w:pPr>
      <w:r>
        <w:t>RAG-retrieved organizational documents and industry reports</w:t>
      </w:r>
    </w:p>
    <w:p>
      <w:pPr/>
      <w:r>
        <w:t>This ensures every SWOT entry is grounded in data, not generated from general knowledge alone.</w:t>
      </w:r>
    </w:p>
    <w:p>
      <w:pPr>
        <w:pStyle w:val="Heading2"/>
      </w:pPr>
      <w:r>
        <w:t>Fallback Mechanism</w:t>
      </w:r>
    </w:p>
    <w:p>
      <w:pPr/>
      <w:r>
        <w:t>Data ingestion follows a three-tier pattern for resilience:</w:t>
      </w:r>
    </w:p>
    <w:p>
      <w:pPr>
        <w:pStyle w:val="ListNumber"/>
      </w:pPr>
      <w:r/>
      <w:r>
        <w:rPr>
          <w:b/>
        </w:rPr>
        <w:t>Live API</w:t>
      </w:r>
      <w:r>
        <w:t xml:space="preserve"> — Real-time data from Finnhub, Alpha Vantage, and other financial APIs</w:t>
      </w:r>
    </w:p>
    <w:p>
      <w:pPr>
        <w:pStyle w:val="ListNumber"/>
      </w:pPr>
      <w:r/>
      <w:r>
        <w:rPr>
          <w:b/>
        </w:rPr>
        <w:t>AI Analysis</w:t>
      </w:r>
      <w:r>
        <w:t xml:space="preserve"> — When APIs are unavailable, AI generates analysis from available context and RAG documents</w:t>
      </w:r>
    </w:p>
    <w:p>
      <w:pPr>
        <w:pStyle w:val="ListNumber"/>
      </w:pPr>
      <w:r/>
      <w:r>
        <w:rPr>
          <w:b/>
        </w:rPr>
        <w:t>Template Default</w:t>
      </w:r>
      <w:r>
        <w:t xml:space="preserve"> — Structured templates ensure the pipeline always completes with a baseline output</w:t>
      </w:r>
    </w:p>
    <w:p>
      <w:pPr/>
      <w:r>
        <w:t>This means the platform works for any company, any industry — even when external API data is limited.</w:t>
      </w:r>
    </w:p>
    <w:p>
      <w:pPr>
        <w:pStyle w:val="Heading1"/>
      </w:pPr>
      <w:r>
        <w:t>8. Human-in-the-Loop Governance</w:t>
      </w:r>
    </w:p>
    <w:p>
      <w:pPr>
        <w:pStyle w:val="Heading2"/>
      </w:pPr>
      <w:r>
        <w:t>Seven Review Gates</w:t>
      </w:r>
    </w:p>
    <w:p>
      <w:pPr/>
      <w:r>
        <w:t>Every step in the BTA pipeline concludes with a mandatory review gate. A designated reviewer — CFO, COO, Chief Strategy Officer, CTO, VP Engineering, or Product Council — must approve or reject the AI's outputs before they flow into subsequent steps.</w:t>
      </w:r>
    </w:p>
    <w:p>
      <w:pPr/>
      <w:r>
        <w:t>In the US Bancorp case study:</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Gate</w:t>
            </w:r>
          </w:p>
        </w:tc>
        <w:tc>
          <w:tcPr>
            <w:tcW w:type="dxa" w:w="312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Reviewer</w:t>
            </w:r>
          </w:p>
        </w:tc>
        <w:tc>
          <w:tcPr>
            <w:tcW w:type="dxa" w:w="312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Status</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Step 1: Data Ingestion &amp; KPIs</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CFO Office</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Approved</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Step 1: KPI Validation</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Head of FP&amp;A</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Approved</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Step 2: Value Stream Mapping</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COO</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Approved</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Step 3: SWOT/TOWS Strategy</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Chief Strategy Officer</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Approved</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Step 4: Strategy &amp; OKR Alignment</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CEO</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Approved</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Step 5: RICE Prioritization</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CTO</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Approved</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Step 6: Epic &amp; Team Allocation</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VP Engineering</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Pending</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Step 7: Feature Backlog &amp; Roadmap</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Product Council</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Pending</w:t>
            </w:r>
          </w:p>
        </w:tc>
      </w:tr>
    </w:tbl>
    <w:p/>
    <w:p>
      <w:pPr>
        <w:pStyle w:val="Heading2"/>
      </w:pPr>
      <w:r>
        <w:t>Why This Matters for Banking</w:t>
      </w:r>
    </w:p>
    <w:p>
      <w:pPr/>
      <w:r>
        <w:t>In a regulated industry, AI cannot make autonomous decisions about strategy or priorities. Banking regulators expect human accountability for every material decision. The BTA governance model ensures:</w:t>
      </w:r>
    </w:p>
    <w:p>
      <w:pPr>
        <w:pStyle w:val="ListBullet"/>
      </w:pPr>
      <w:r/>
      <w:r>
        <w:rPr>
          <w:b/>
        </w:rPr>
        <w:t>Regulatory compliance:</w:t>
      </w:r>
      <w:r>
        <w:t xml:space="preserve"> Every AI output is reviewed by a qualified human before it informs downstream decisions. This satisfies OCC and Fed expectations for model risk management.</w:t>
      </w:r>
    </w:p>
    <w:p>
      <w:pPr>
        <w:pStyle w:val="ListBullet"/>
      </w:pPr>
      <w:r/>
      <w:r>
        <w:rPr>
          <w:b/>
        </w:rPr>
        <w:t>Organizational alignment:</w:t>
      </w:r>
      <w:r>
        <w:t xml:space="preserve"> Review gates create natural checkpoints for executive alignment, ensuring the transformation plan reflects leadership's actual priorities — not just what the AI optimized for.</w:t>
      </w:r>
    </w:p>
    <w:p>
      <w:pPr>
        <w:pStyle w:val="ListBullet"/>
      </w:pPr>
      <w:r/>
      <w:r>
        <w:rPr>
          <w:b/>
        </w:rPr>
        <w:t>Audit trail:</w:t>
      </w:r>
      <w:r>
        <w:t xml:space="preserve"> Every approval, rejection, and modification is logged, creating a complete audit trail for regulatory examination.</w:t>
      </w:r>
    </w:p>
    <w:p>
      <w:pPr/>
      <w:r>
        <w:t>The platform's value proposition is acceleration, not replacement. AI compresses the analytical work from months to minutes; humans retain full authority over strategic direction.</w:t>
      </w:r>
    </w:p>
    <w:p>
      <w:pPr>
        <w:pStyle w:val="Heading1"/>
      </w:pPr>
      <w:r>
        <w:t>9. Implications for the Banking Industry</w:t>
      </w:r>
    </w:p>
    <w:p>
      <w:pPr>
        <w:pStyle w:val="Heading2"/>
      </w:pPr>
      <w:r>
        <w:t>Democratization of Strategy Consulting</w:t>
      </w:r>
    </w:p>
    <w:p>
      <w:pPr/>
      <w:r>
        <w:t>Historically, comprehensive transformation planning has been accessible only to the largest banks with the budgets to engage top-tier consulting firms. A $500K+ McKinsey engagement is routine for JPMorgan but prohibitive for a $10B community bank facing the same competitive pressures.</w:t>
      </w:r>
    </w:p>
    <w:p>
      <w:pPr/>
      <w:r>
        <w:t>BTA makes enterprise-grade transformation planning accessible at commodity pricing. A community bank can generate the same quality of strategic analysis — complete with data-driven SWOT, quantitative RICE prioritization, and sprint-ready backlogs — that previously required a six-figure consulting engagement.</w:t>
      </w:r>
    </w:p>
    <w:p>
      <w:pPr>
        <w:pStyle w:val="Heading2"/>
      </w:pPr>
      <w:r>
        <w:t>Continuous Transformation</w:t>
      </w:r>
    </w:p>
    <w:p>
      <w:pPr/>
      <w:r>
        <w:t>The traditional model treats transformation as a periodic event — a 6-12 month engagement followed by years of execution. But banking markets move faster than consulting cycles. Interest rates shift, regulations change, fintechs launch new products, and competitive dynamics evolve quarterly.</w:t>
      </w:r>
    </w:p>
    <w:p>
      <w:pPr/>
      <w:r>
        <w:t>At $0.05 per full-pipeline run, transformation planning becomes continuous. Banks can re-run their analysis after every earnings cycle, every regulatory change, or every competitive move — pivoting strategy in days rather than quarters.</w:t>
      </w:r>
    </w:p>
    <w:p>
      <w:pPr>
        <w:pStyle w:val="Heading2"/>
      </w:pPr>
      <w:r>
        <w:t>Speed-to-Insight as Competitive Advantage</w:t>
      </w:r>
    </w:p>
    <w:p>
      <w:pPr/>
      <w:r>
        <w:t>The bank that can identify a strategic gap, formulate a response, and translate it into an engineering backlog in 5 minutes has a structural advantage over the bank that requires 5 months for the same process. This is not merely an operational efficiency — it represents a fundamentally different capability.</w:t>
      </w:r>
    </w:p>
    <w:p>
      <w:pPr>
        <w:pStyle w:val="Heading2"/>
      </w:pPr>
      <w:r>
        <w:t>Leveling the Playing Field</w:t>
      </w:r>
    </w:p>
    <w:p>
      <w:pPr/>
      <w:r>
        <w:t>When a $10B bank can generate a transformation plan as comprehensive as a $500B bank's, competitive dynamics shift. The advantage moves from "who can afford the best consultants" to "who can execute the fastest and most effectively." AI levels the planning playing field; execution quality becomes the differentiator.</w:t>
      </w:r>
    </w:p>
    <w:p>
      <w:pPr>
        <w:pStyle w:val="Heading1"/>
      </w:pPr>
      <w:r>
        <w:t>10. Conclusion &amp; Call to Action</w:t>
      </w:r>
    </w:p>
    <w:p>
      <w:pPr/>
      <w:r>
        <w:t>Business transformation planning in banking is broken — not because the frameworks are wrong, but because the execution model is fundamentally mismatched with the pace of change. Months-long planning cycles, six-figure consulting fees, and hundreds of hours of stakeholder time produce outputs that are outdated before they reach the engineering team's backlog.</w:t>
      </w:r>
    </w:p>
    <w:p>
      <w:pPr/>
      <w:r>
        <w:t>The BTA platform demonstrates that a different model is possible: AI-accelerated planning that generates 200+ interconnected artifacts in 5 minutes, at 99.99% lower cost, with complete traceability from boardroom strategy to sprint-ready features. Human governance remains central — 7 review gates ensure that AI accelerates analysis while leaders retain decision authority.</w:t>
      </w:r>
    </w:p>
    <w:p>
      <w:pPr/>
      <w:r>
        <w:t>The US Bancorp case study validates that this approach works for real-world banking complexity: regulatory requirements, legacy system constraints, multi-business-line coordination, and competitive dynamics are all reflected in the platform's outputs.</w:t>
      </w:r>
    </w:p>
    <w:p>
      <w:pPr/>
      <w:r>
        <w:t>The future of transformation planning is not months. It is minutes. Banks that adopt AI-accelerated planning will compound their speed advantage with every strategy cycle — while those that remain in the workshop-and-PowerPoint paradigm will find the gap increasingly difficult to close.</w:t>
      </w:r>
    </w:p>
    <w:p>
      <w:pPr/>
      <w:r/>
      <w:r>
        <w:rPr>
          <w:b/>
        </w:rPr>
        <w:t>Explore the platform:</w:t>
      </w:r>
      <w:r>
        <w:t xml:space="preserve"> [Business Transformation Architect](https://business-transformation-architect.onrender.com)</w:t>
      </w:r>
    </w:p>
    <w:p>
      <w:pPr>
        <w:pStyle w:val="Heading1"/>
      </w:pPr>
      <w:r>
        <w:t>Appendix A: Platform Output Summary — US Bancorp Case Study</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Category</w:t>
            </w:r>
          </w:p>
        </w:tc>
        <w:tc>
          <w:tcPr>
            <w:tcW w:type="dxa" w:w="312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Artifacts Generated</w:t>
            </w:r>
          </w:p>
        </w:tc>
        <w:tc>
          <w:tcPr>
            <w:tcW w:type="dxa" w:w="312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Details</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r>
            <w:r>
              <w:rPr>
                <w:rFonts w:ascii="Calibri" w:hAnsi="Calibri"/>
                <w:b/>
                <w:sz w:val="18"/>
              </w:rPr>
              <w:t>Organization</w:t>
            </w:r>
            <w:r>
              <w:rPr>
                <w:rFonts w:ascii="Calibri" w:hAnsi="Calibri"/>
                <w:sz w:val="18"/>
              </w:rPr>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1 organization, 5 business units</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US Bancorp + 4 divisions</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r>
            <w:r>
              <w:rPr>
                <w:rFonts w:ascii="Calibri" w:hAnsi="Calibri"/>
                <w:b/>
                <w:sz w:val="18"/>
              </w:rPr>
              <w:t>Revenue Splits</w:t>
            </w:r>
            <w:r>
              <w:rPr>
                <w:rFonts w:ascii="Calibri" w:hAnsi="Calibri"/>
                <w:sz w:val="18"/>
              </w:rPr>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18 entries</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By product (3yr), region, segment</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r>
            <w:r>
              <w:rPr>
                <w:rFonts w:ascii="Calibri" w:hAnsi="Calibri"/>
                <w:b/>
                <w:sz w:val="18"/>
              </w:rPr>
              <w:t>Operating Metrics</w:t>
            </w:r>
            <w:r>
              <w:rPr>
                <w:rFonts w:ascii="Calibri" w:hAnsi="Calibri"/>
                <w:sz w:val="18"/>
              </w:rPr>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15 KPIs</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Margin, ROE, ROA, NIM, efficiency ratio, capital ratios</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r>
            <w:r>
              <w:rPr>
                <w:rFonts w:ascii="Calibri" w:hAnsi="Calibri"/>
                <w:b/>
                <w:sz w:val="18"/>
              </w:rPr>
              <w:t>Competitors</w:t>
            </w:r>
            <w:r>
              <w:rPr>
                <w:rFonts w:ascii="Calibri" w:hAnsi="Calibri"/>
                <w:sz w:val="18"/>
              </w:rPr>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3 profiles</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JPMorgan, Wells Fargo, PNC with full financials</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r>
            <w:r>
              <w:rPr>
                <w:rFonts w:ascii="Calibri" w:hAnsi="Calibri"/>
                <w:b/>
                <w:sz w:val="18"/>
              </w:rPr>
              <w:t>Data Sources</w:t>
            </w:r>
            <w:r>
              <w:rPr>
                <w:rFonts w:ascii="Calibri" w:hAnsi="Calibri"/>
                <w:sz w:val="18"/>
              </w:rPr>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3 URLs</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Investor relations, annual report, FDIC data</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r>
            <w:r>
              <w:rPr>
                <w:rFonts w:ascii="Calibri" w:hAnsi="Calibri"/>
                <w:b/>
                <w:sz w:val="18"/>
              </w:rPr>
              <w:t>Value Streams</w:t>
            </w:r>
            <w:r>
              <w:rPr>
                <w:rFonts w:ascii="Calibri" w:hAnsi="Calibri"/>
                <w:sz w:val="18"/>
              </w:rPr>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4 streams, 17 steps</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Mortgage, payments, account opening, wealth advisory</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r>
            <w:r>
              <w:rPr>
                <w:rFonts w:ascii="Calibri" w:hAnsi="Calibri"/>
                <w:b/>
                <w:sz w:val="18"/>
              </w:rPr>
              <w:t>Improvement Levers</w:t>
            </w:r>
            <w:r>
              <w:rPr>
                <w:rFonts w:ascii="Calibri" w:hAnsi="Calibri"/>
                <w:sz w:val="18"/>
              </w:rPr>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6 levers</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AI underwriting, real-time settlement, instant opening</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r>
            <w:r>
              <w:rPr>
                <w:rFonts w:ascii="Calibri" w:hAnsi="Calibri"/>
                <w:b/>
                <w:sz w:val="18"/>
              </w:rPr>
              <w:t>SWOT Entries</w:t>
            </w:r>
            <w:r>
              <w:rPr>
                <w:rFonts w:ascii="Calibri" w:hAnsi="Calibri"/>
                <w:sz w:val="18"/>
              </w:rPr>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16 entries</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4S + 4W + 4O + 4T with severity/confidence</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r>
            <w:r>
              <w:rPr>
                <w:rFonts w:ascii="Calibri" w:hAnsi="Calibri"/>
                <w:b/>
                <w:sz w:val="18"/>
              </w:rPr>
              <w:t>TOWS Actions</w:t>
            </w:r>
            <w:r>
              <w:rPr>
                <w:rFonts w:ascii="Calibri" w:hAnsi="Calibri"/>
                <w:sz w:val="18"/>
              </w:rPr>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6 actions</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SO, WO, ST, WT with impact scores</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r>
            <w:r>
              <w:rPr>
                <w:rFonts w:ascii="Calibri" w:hAnsi="Calibri"/>
                <w:b/>
                <w:sz w:val="18"/>
              </w:rPr>
              <w:t>Strategy Inputs</w:t>
            </w:r>
            <w:r>
              <w:rPr>
                <w:rFonts w:ascii="Calibri" w:hAnsi="Calibri"/>
                <w:sz w:val="18"/>
              </w:rPr>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7 documents</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Strategic plans, regulatory reports, competitive intel</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r>
            <w:r>
              <w:rPr>
                <w:rFonts w:ascii="Calibri" w:hAnsi="Calibri"/>
                <w:b/>
                <w:sz w:val="18"/>
              </w:rPr>
              <w:t>Strategies</w:t>
            </w:r>
            <w:r>
              <w:rPr>
                <w:rFonts w:ascii="Calibri" w:hAnsi="Calibri"/>
                <w:sz w:val="18"/>
              </w:rPr>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6 across 4 layers</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Business (2), Digital (2), Data (1), Gen AI (1)</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r>
            <w:r>
              <w:rPr>
                <w:rFonts w:ascii="Calibri" w:hAnsi="Calibri"/>
                <w:b/>
                <w:sz w:val="18"/>
              </w:rPr>
              <w:t>Strategic OKRs</w:t>
            </w:r>
            <w:r>
              <w:rPr>
                <w:rFonts w:ascii="Calibri" w:hAnsi="Calibri"/>
                <w:sz w:val="18"/>
              </w:rPr>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6 objectives</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With 13 measurable key results</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r>
            <w:r>
              <w:rPr>
                <w:rFonts w:ascii="Calibri" w:hAnsi="Calibri"/>
                <w:b/>
                <w:sz w:val="18"/>
              </w:rPr>
              <w:t>Product Groups</w:t>
            </w:r>
            <w:r>
              <w:rPr>
                <w:rFonts w:ascii="Calibri" w:hAnsi="Calibri"/>
                <w:sz w:val="18"/>
              </w:rPr>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4 groups</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Payment, AI/Automation, Digital Banking, Embedded Finance</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r>
            <w:r>
              <w:rPr>
                <w:rFonts w:ascii="Calibri" w:hAnsi="Calibri"/>
                <w:b/>
                <w:sz w:val="18"/>
              </w:rPr>
              <w:t>Digital Products</w:t>
            </w:r>
            <w:r>
              <w:rPr>
                <w:rFonts w:ascii="Calibri" w:hAnsi="Calibri"/>
                <w:sz w:val="18"/>
              </w:rPr>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6 products</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Settlement engine, copilot, underwriting, mobile, BaaS, fraud</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r>
            <w:r>
              <w:rPr>
                <w:rFonts w:ascii="Calibri" w:hAnsi="Calibri"/>
                <w:b/>
                <w:sz w:val="18"/>
              </w:rPr>
              <w:t>Initiatives</w:t>
            </w:r>
            <w:r>
              <w:rPr>
                <w:rFonts w:ascii="Calibri" w:hAnsi="Calibri"/>
                <w:sz w:val="18"/>
              </w:rPr>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8 RICE-scored</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Phase 1 (6) + Phase 2 (2)</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r>
            <w:r>
              <w:rPr>
                <w:rFonts w:ascii="Calibri" w:hAnsi="Calibri"/>
                <w:b/>
                <w:sz w:val="18"/>
              </w:rPr>
              <w:t>Teams</w:t>
            </w:r>
            <w:r>
              <w:rPr>
                <w:rFonts w:ascii="Calibri" w:hAnsi="Calibri"/>
                <w:sz w:val="18"/>
              </w:rPr>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6 teams</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With capacity planning (total: 143 capacity units)</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r>
            <w:r>
              <w:rPr>
                <w:rFonts w:ascii="Calibri" w:hAnsi="Calibri"/>
                <w:b/>
                <w:sz w:val="18"/>
              </w:rPr>
              <w:t>Product OKRs</w:t>
            </w:r>
            <w:r>
              <w:rPr>
                <w:rFonts w:ascii="Calibri" w:hAnsi="Calibri"/>
                <w:sz w:val="18"/>
              </w:rPr>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4 objectives</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Team-level goals linked to strategic OKRs</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r>
            <w:r>
              <w:rPr>
                <w:rFonts w:ascii="Calibri" w:hAnsi="Calibri"/>
                <w:b/>
                <w:sz w:val="18"/>
              </w:rPr>
              <w:t>Epics</w:t>
            </w:r>
            <w:r>
              <w:rPr>
                <w:rFonts w:ascii="Calibri" w:hAnsi="Calibri"/>
                <w:sz w:val="18"/>
              </w:rPr>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8 epics</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With effort estimates, risk levels, dependencies</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r>
            <w:r>
              <w:rPr>
                <w:rFonts w:ascii="Calibri" w:hAnsi="Calibri"/>
                <w:b/>
                <w:sz w:val="18"/>
              </w:rPr>
              <w:t>Epic Dependencies</w:t>
            </w:r>
            <w:r>
              <w:rPr>
                <w:rFonts w:ascii="Calibri" w:hAnsi="Calibri"/>
                <w:sz w:val="18"/>
              </w:rPr>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3 relationships</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Cross-epic sequencing identified upfront</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r>
            <w:r>
              <w:rPr>
                <w:rFonts w:ascii="Calibri" w:hAnsi="Calibri"/>
                <w:b/>
                <w:sz w:val="18"/>
              </w:rPr>
              <w:t>Features</w:t>
            </w:r>
            <w:r>
              <w:rPr>
                <w:rFonts w:ascii="Calibri" w:hAnsi="Calibri"/>
                <w:sz w:val="18"/>
              </w:rPr>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15 features</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With acceptance criteria and story points</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r>
            <w:r>
              <w:rPr>
                <w:rFonts w:ascii="Calibri" w:hAnsi="Calibri"/>
                <w:b/>
                <w:sz w:val="18"/>
              </w:rPr>
              <w:t>Delivery OKRs</w:t>
            </w:r>
            <w:r>
              <w:rPr>
                <w:rFonts w:ascii="Calibri" w:hAnsi="Calibri"/>
                <w:sz w:val="18"/>
              </w:rPr>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4 objectives</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Sprint-level goals per team</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r>
            <w:r>
              <w:rPr>
                <w:rFonts w:ascii="Calibri" w:hAnsi="Calibri"/>
                <w:b/>
                <w:sz w:val="18"/>
              </w:rPr>
              <w:t>Review Gates</w:t>
            </w:r>
            <w:r>
              <w:rPr>
                <w:rFonts w:ascii="Calibri" w:hAnsi="Calibri"/>
                <w:sz w:val="18"/>
              </w:rPr>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8 gates</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6 approved, 2 pending</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r>
            <w:r>
              <w:rPr>
                <w:rFonts w:ascii="Calibri" w:hAnsi="Calibri"/>
                <w:b/>
                <w:sz w:val="18"/>
              </w:rPr>
              <w:t>Total</w:t>
            </w:r>
            <w:r>
              <w:rPr>
                <w:rFonts w:ascii="Calibri" w:hAnsi="Calibri"/>
                <w:sz w:val="18"/>
              </w:rPr>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r>
            <w:r>
              <w:rPr>
                <w:rFonts w:ascii="Calibri" w:hAnsi="Calibri"/>
                <w:b/>
                <w:sz w:val="18"/>
              </w:rPr>
              <w:t>200+ artifacts</w:t>
            </w:r>
            <w:r>
              <w:rPr>
                <w:rFonts w:ascii="Calibri" w:hAnsi="Calibri"/>
                <w:sz w:val="18"/>
              </w:rPr>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r>
            <w:r>
              <w:rPr>
                <w:rFonts w:ascii="Calibri" w:hAnsi="Calibri"/>
                <w:b/>
                <w:sz w:val="18"/>
              </w:rPr>
              <w:t>Full traceability chain maintained</w:t>
            </w:r>
            <w:r>
              <w:rPr>
                <w:rFonts w:ascii="Calibri" w:hAnsi="Calibri"/>
                <w:sz w:val="18"/>
              </w:rPr>
            </w:r>
          </w:p>
        </w:tc>
      </w:tr>
    </w:tbl>
    <w:p/>
    <w:p>
      <w:pPr>
        <w:pStyle w:val="Heading1"/>
      </w:pPr>
      <w:r>
        <w:t>Appendix B: Technology Stack &amp; AI Models</w:t>
      </w:r>
    </w:p>
    <w:p>
      <w:pPr>
        <w:pStyle w:val="Heading2"/>
      </w:pPr>
      <w:r>
        <w:t>Platform Architecture</w:t>
      </w:r>
    </w:p>
    <w:tbl>
      <w:tblPr>
        <w:tblW w:type="auto" w:w="0"/>
        <w:jc w:val="center"/>
        <w:tblLayout w:type="autofit"/>
        <w:tblLook w:firstColumn="1" w:firstRow="1" w:lastColumn="0" w:lastRow="0" w:noHBand="0" w:noVBand="1" w:val="04A0"/>
      </w:tblPr>
      <w:tblGrid>
        <w:gridCol w:w="4680"/>
        <w:gridCol w:w="4680"/>
      </w:tblGrid>
      <w:tr>
        <w:tc>
          <w:tcPr>
            <w:tcW w:type="dxa" w:w="468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Component</w:t>
            </w:r>
          </w:p>
        </w:tc>
        <w:tc>
          <w:tcPr>
            <w:tcW w:type="dxa" w:w="468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Technology</w:t>
            </w:r>
          </w:p>
        </w:tc>
      </w:tr>
      <w:tr>
        <w:tc>
          <w:tcPr>
            <w:tcW w:type="dxa" w:w="468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r>
            <w:r>
              <w:rPr>
                <w:rFonts w:ascii="Calibri" w:hAnsi="Calibri"/>
                <w:b/>
                <w:sz w:val="18"/>
              </w:rPr>
              <w:t>Backend</w:t>
            </w:r>
            <w:r>
              <w:rPr>
                <w:rFonts w:ascii="Calibri" w:hAnsi="Calibri"/>
                <w:sz w:val="18"/>
              </w:rPr>
            </w:r>
          </w:p>
        </w:tc>
        <w:tc>
          <w:tcPr>
            <w:tcW w:type="dxa" w:w="468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Python 3.11, FastAPI</w:t>
            </w:r>
          </w:p>
        </w:tc>
      </w:tr>
      <w:tr>
        <w:tc>
          <w:tcPr>
            <w:tcW w:type="dxa" w:w="468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r>
            <w:r>
              <w:rPr>
                <w:rFonts w:ascii="Calibri" w:hAnsi="Calibri"/>
                <w:b/>
                <w:sz w:val="18"/>
              </w:rPr>
              <w:t>Frontend</w:t>
            </w:r>
            <w:r>
              <w:rPr>
                <w:rFonts w:ascii="Calibri" w:hAnsi="Calibri"/>
                <w:sz w:val="18"/>
              </w:rPr>
            </w:r>
          </w:p>
        </w:tc>
        <w:tc>
          <w:tcPr>
            <w:tcW w:type="dxa" w:w="468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Vanilla JavaScript SPA</w:t>
            </w:r>
          </w:p>
        </w:tc>
      </w:tr>
      <w:tr>
        <w:tc>
          <w:tcPr>
            <w:tcW w:type="dxa" w:w="468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r>
            <w:r>
              <w:rPr>
                <w:rFonts w:ascii="Calibri" w:hAnsi="Calibri"/>
                <w:b/>
                <w:sz w:val="18"/>
              </w:rPr>
              <w:t>Database (Local)</w:t>
            </w:r>
            <w:r>
              <w:rPr>
                <w:rFonts w:ascii="Calibri" w:hAnsi="Calibri"/>
                <w:sz w:val="18"/>
              </w:rPr>
            </w:r>
          </w:p>
        </w:tc>
        <w:tc>
          <w:tcPr>
            <w:tcW w:type="dxa" w:w="468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SQLite</w:t>
            </w:r>
          </w:p>
        </w:tc>
      </w:tr>
      <w:tr>
        <w:tc>
          <w:tcPr>
            <w:tcW w:type="dxa" w:w="468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r>
            <w:r>
              <w:rPr>
                <w:rFonts w:ascii="Calibri" w:hAnsi="Calibri"/>
                <w:b/>
                <w:sz w:val="18"/>
              </w:rPr>
              <w:t>Database (Production)</w:t>
            </w:r>
            <w:r>
              <w:rPr>
                <w:rFonts w:ascii="Calibri" w:hAnsi="Calibri"/>
                <w:sz w:val="18"/>
              </w:rPr>
            </w:r>
          </w:p>
        </w:tc>
        <w:tc>
          <w:tcPr>
            <w:tcW w:type="dxa" w:w="468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PostgreSQL 16</w:t>
            </w:r>
          </w:p>
        </w:tc>
      </w:tr>
      <w:tr>
        <w:tc>
          <w:tcPr>
            <w:tcW w:type="dxa" w:w="468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r>
            <w:r>
              <w:rPr>
                <w:rFonts w:ascii="Calibri" w:hAnsi="Calibri"/>
                <w:b/>
                <w:sz w:val="18"/>
              </w:rPr>
              <w:t>Hosting</w:t>
            </w:r>
            <w:r>
              <w:rPr>
                <w:rFonts w:ascii="Calibri" w:hAnsi="Calibri"/>
                <w:sz w:val="18"/>
              </w:rPr>
            </w:r>
          </w:p>
        </w:tc>
        <w:tc>
          <w:tcPr>
            <w:tcW w:type="dxa" w:w="468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Render.com</w:t>
            </w:r>
          </w:p>
        </w:tc>
      </w:tr>
      <w:tr>
        <w:tc>
          <w:tcPr>
            <w:tcW w:type="dxa" w:w="468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r>
            <w:r>
              <w:rPr>
                <w:rFonts w:ascii="Calibri" w:hAnsi="Calibri"/>
                <w:b/>
                <w:sz w:val="18"/>
              </w:rPr>
              <w:t>AI Models</w:t>
            </w:r>
            <w:r>
              <w:rPr>
                <w:rFonts w:ascii="Calibri" w:hAnsi="Calibri"/>
                <w:sz w:val="18"/>
              </w:rPr>
            </w:r>
          </w:p>
        </w:tc>
        <w:tc>
          <w:tcPr>
            <w:tcW w:type="dxa" w:w="468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OpenAI GPT-4o (analysis, generation), GPT-4o-mini (summarization)</w:t>
            </w:r>
          </w:p>
        </w:tc>
      </w:tr>
      <w:tr>
        <w:tc>
          <w:tcPr>
            <w:tcW w:type="dxa" w:w="468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r>
            <w:r>
              <w:rPr>
                <w:rFonts w:ascii="Calibri" w:hAnsi="Calibri"/>
                <w:b/>
                <w:sz w:val="18"/>
              </w:rPr>
              <w:t>Financial Data APIs</w:t>
            </w:r>
            <w:r>
              <w:rPr>
                <w:rFonts w:ascii="Calibri" w:hAnsi="Calibri"/>
                <w:sz w:val="18"/>
              </w:rPr>
            </w:r>
          </w:p>
        </w:tc>
        <w:tc>
          <w:tcPr>
            <w:tcW w:type="dxa" w:w="468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Finnhub (ticker search, company profiles), Alpha Vantage (financials, metrics)</w:t>
            </w:r>
          </w:p>
        </w:tc>
      </w:tr>
      <w:tr>
        <w:tc>
          <w:tcPr>
            <w:tcW w:type="dxa" w:w="468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r>
            <w:r>
              <w:rPr>
                <w:rFonts w:ascii="Calibri" w:hAnsi="Calibri"/>
                <w:b/>
                <w:sz w:val="18"/>
              </w:rPr>
              <w:t>Knowledge Base</w:t>
            </w:r>
            <w:r>
              <w:rPr>
                <w:rFonts w:ascii="Calibri" w:hAnsi="Calibri"/>
                <w:sz w:val="18"/>
              </w:rPr>
            </w:r>
          </w:p>
        </w:tc>
        <w:tc>
          <w:tcPr>
            <w:tcW w:type="dxa" w:w="468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RAG with document embedding and semantic search</w:t>
            </w:r>
          </w:p>
        </w:tc>
      </w:tr>
    </w:tbl>
    <w:p/>
    <w:p>
      <w:pPr>
        <w:pStyle w:val="Heading2"/>
      </w:pPr>
      <w:r>
        <w:t>AI Agent Configuration</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Agent</w:t>
            </w:r>
          </w:p>
        </w:tc>
        <w:tc>
          <w:tcPr>
            <w:tcW w:type="dxa" w:w="312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Model</w:t>
            </w:r>
          </w:p>
        </w:tc>
        <w:tc>
          <w:tcPr>
            <w:tcW w:type="dxa" w:w="312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Function</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Financial Analyst</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GPT-4o</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Extract KPIs, benchmark competitors, identify anomalies</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Value Stream Mapper</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GPT-4o</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Map processes, identify bottlenecks, generate improvement levers</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SWOT Analyst</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GPT-4o</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Evidence-based SWOT with severity/confidence scoring</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TOWS Strategist</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GPT-4o</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Cross-reference S/W/O/T to generate prioritized actions</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Strategy Architect</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GPT-4o</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4-layer strategy formulation with cross-layer alignment</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OKR Generator</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GPT-4o</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Data-anchored OKRs with baseline → target → stretch</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Initiative Scorer</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GPT-4o</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RICE quantitative scoring from context data</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Product Designer</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GPT-4o</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Digital product grouping and definition</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Team Recommender</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GPT-4o</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Team formation based on initiative requirements</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Epic Decomposer</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GPT-4o</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Break initiatives into delivery-sized epics</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Dependency Mapper</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GPT-4o</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Identify cross-epic and cross-team dependencies</w:t>
            </w:r>
          </w:p>
        </w:tc>
      </w:tr>
      <w:tr>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Feature Writer</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GPT-4o</w:t>
            </w:r>
          </w:p>
        </w:tc>
        <w:tc>
          <w:tcPr>
            <w:tcW w:type="dxa" w:w="312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User stories with Given/When/Then acceptance criteria</w:t>
            </w:r>
          </w:p>
        </w:tc>
      </w:tr>
      <w:tr>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Delivery OKR Cascader</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GPT-4o</w:t>
            </w:r>
          </w:p>
        </w:tc>
        <w:tc>
          <w:tcPr>
            <w:tcW w:type="dxa" w:w="312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Sprint-level goals linked to product and strategic OKRs</w:t>
            </w:r>
          </w:p>
        </w:tc>
      </w:tr>
    </w:tbl>
    <w:p/>
    <w:p>
      <w:pPr>
        <w:pStyle w:val="Heading2"/>
      </w:pPr>
      <w:r>
        <w:t>Cost Model</w:t>
      </w:r>
    </w:p>
    <w:tbl>
      <w:tblPr>
        <w:tblW w:type="auto" w:w="0"/>
        <w:jc w:val="center"/>
        <w:tblLayout w:type="autofit"/>
        <w:tblLook w:firstColumn="1" w:firstRow="1" w:lastColumn="0" w:lastRow="0" w:noHBand="0" w:noVBand="1" w:val="04A0"/>
      </w:tblPr>
      <w:tblGrid>
        <w:gridCol w:w="4680"/>
        <w:gridCol w:w="4680"/>
      </w:tblGrid>
      <w:tr>
        <w:tc>
          <w:tcPr>
            <w:tcW w:type="dxa" w:w="468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Operation</w:t>
            </w:r>
          </w:p>
        </w:tc>
        <w:tc>
          <w:tcPr>
            <w:tcW w:type="dxa" w:w="4680"/>
            <w:shd w:fill="003366"/>
            <w:tcBorders>
              <w:top w:val="single" w:sz="4" w:space="0" w:color="AAAAAA"/>
              <w:bottom w:val="single" w:sz="4" w:space="0" w:color="AAAAAA"/>
              <w:left w:val="single" w:sz="4" w:space="0" w:color="AAAAAA"/>
              <w:right w:val="single" w:sz="4" w:space="0" w:color="AAAAAA"/>
            </w:tcBorders>
            <w:vAlign w:val="center"/>
          </w:tcPr>
          <w:p>
            <w:pPr>
              <w:jc w:val="left"/>
            </w:pPr>
            <w:r/>
            <w:r>
              <w:rPr>
                <w:rFonts w:ascii="Calibri" w:hAnsi="Calibri"/>
                <w:b/>
                <w:color w:val="FFFFFF"/>
                <w:sz w:val="18"/>
              </w:rPr>
              <w:t>Estimated Cost</w:t>
            </w:r>
          </w:p>
        </w:tc>
      </w:tr>
      <w:tr>
        <w:tc>
          <w:tcPr>
            <w:tcW w:type="dxa" w:w="468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Full 7-step pipeline run</w:t>
            </w:r>
          </w:p>
        </w:tc>
        <w:tc>
          <w:tcPr>
            <w:tcW w:type="dxa" w:w="468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$0.05-0.25</w:t>
            </w:r>
          </w:p>
        </w:tc>
      </w:tr>
      <w:tr>
        <w:tc>
          <w:tcPr>
            <w:tcW w:type="dxa" w:w="468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Single step regeneration</w:t>
            </w:r>
          </w:p>
        </w:tc>
        <w:tc>
          <w:tcPr>
            <w:tcW w:type="dxa" w:w="468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$0.01-0.05</w:t>
            </w:r>
          </w:p>
        </w:tc>
      </w:tr>
      <w:tr>
        <w:tc>
          <w:tcPr>
            <w:tcW w:type="dxa" w:w="468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Financial data ingestion</w:t>
            </w:r>
          </w:p>
        </w:tc>
        <w:tc>
          <w:tcPr>
            <w:tcW w:type="dxa" w:w="468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t>$0.01-0.02 (API costs)</w:t>
            </w:r>
          </w:p>
        </w:tc>
      </w:tr>
      <w:tr>
        <w:tc>
          <w:tcPr>
            <w:tcW w:type="dxa" w:w="468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RAG document indexing</w:t>
            </w:r>
          </w:p>
        </w:tc>
        <w:tc>
          <w:tcPr>
            <w:tcW w:type="dxa" w:w="4680"/>
            <w:tcBorders>
              <w:top w:val="single" w:sz="4" w:space="0" w:color="AAAAAA"/>
              <w:bottom w:val="single" w:sz="4" w:space="0" w:color="AAAAAA"/>
              <w:left w:val="single" w:sz="4" w:space="0" w:color="AAAAAA"/>
              <w:right w:val="single" w:sz="4" w:space="0" w:color="AAAAAA"/>
            </w:tcBorders>
            <w:vAlign w:val="center"/>
            <w:shd w:fill="EBF0F7"/>
          </w:tcPr>
          <w:p>
            <w:r/>
            <w:r>
              <w:rPr>
                <w:rFonts w:ascii="Calibri" w:hAnsi="Calibri"/>
                <w:sz w:val="18"/>
              </w:rPr>
              <w:t>$0.01-0.03 per document</w:t>
            </w:r>
          </w:p>
        </w:tc>
      </w:tr>
      <w:tr>
        <w:tc>
          <w:tcPr>
            <w:tcW w:type="dxa" w:w="468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r>
            <w:r>
              <w:rPr>
                <w:rFonts w:ascii="Calibri" w:hAnsi="Calibri"/>
                <w:b/>
                <w:sz w:val="18"/>
              </w:rPr>
              <w:t>Total per transformation cycle</w:t>
            </w:r>
            <w:r>
              <w:rPr>
                <w:rFonts w:ascii="Calibri" w:hAnsi="Calibri"/>
                <w:sz w:val="18"/>
              </w:rPr>
            </w:r>
          </w:p>
        </w:tc>
        <w:tc>
          <w:tcPr>
            <w:tcW w:type="dxa" w:w="4680"/>
            <w:tcBorders>
              <w:top w:val="single" w:sz="4" w:space="0" w:color="AAAAAA"/>
              <w:bottom w:val="single" w:sz="4" w:space="0" w:color="AAAAAA"/>
              <w:left w:val="single" w:sz="4" w:space="0" w:color="AAAAAA"/>
              <w:right w:val="single" w:sz="4" w:space="0" w:color="AAAAAA"/>
            </w:tcBorders>
            <w:vAlign w:val="center"/>
          </w:tcPr>
          <w:p>
            <w:r/>
            <w:r>
              <w:rPr>
                <w:rFonts w:ascii="Calibri" w:hAnsi="Calibri"/>
                <w:sz w:val="18"/>
              </w:rPr>
            </w:r>
            <w:r>
              <w:rPr>
                <w:rFonts w:ascii="Calibri" w:hAnsi="Calibri"/>
                <w:b/>
                <w:sz w:val="18"/>
              </w:rPr>
              <w:t>$0.10-0.30</w:t>
            </w:r>
            <w:r>
              <w:rPr>
                <w:rFonts w:ascii="Calibri" w:hAnsi="Calibri"/>
                <w:sz w:val="18"/>
              </w:rPr>
            </w:r>
          </w:p>
        </w:tc>
      </w:tr>
    </w:tbl>
    <w:p/>
    <w:p>
      <w:pPr>
        <w:jc w:val="center"/>
      </w:pPr>
      <w:r>
        <w:rPr>
          <w:i/>
          <w:color w:val="505050"/>
          <w:sz w:val="20"/>
        </w:rPr>
        <w:t>This white paper was produced using the Business Transformation Architect platform with actual US Bancorp data ingested from public financial APIs. All financial figures represent publicly available data. Strategic recommendations are AI-generated for demonstration purposes and do not constitute investment or business advice.</w:t>
      </w:r>
    </w:p>
    <w:p>
      <w:pPr>
        <w:jc w:val="center"/>
      </w:pPr>
      <w:r>
        <w:rPr>
          <w:i/>
          <w:color w:val="505050"/>
          <w:sz w:val="20"/>
        </w:rPr>
        <w:t>Published: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Calibri" w:hAnsi="Calibri"/>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jc w:val="center"/>
    </w:pPr>
    <w:rPr>
      <w:rFonts w:asciiTheme="majorHAnsi" w:eastAsiaTheme="majorEastAsia" w:hAnsiTheme="majorHAnsi" w:cstheme="majorBidi" w:ascii="Calibri" w:hAnsi="Calibri"/>
      <w:b/>
      <w:color w:val="00336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