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5C"/>
        </w:rPr>
        <w:t>BTA Platform Enhancement Roadmap: Consulting Firm Parity</w:t>
      </w:r>
    </w:p>
    <w:p>
      <w:r>
        <w:rPr>
          <w:rFonts w:ascii="Calibri" w:hAnsi="Calibri"/>
          <w:i/>
          <w:sz w:val="24"/>
        </w:rPr>
        <w:t>Bridging the Gap Between AI-Accelerated Planning and Enterprise Consulting Capabilities</w:t>
      </w:r>
    </w:p>
    <w:p/>
    <w:p>
      <w:pPr>
        <w:pStyle w:val="Heading1"/>
      </w:pPr>
      <w:r>
        <w:rPr>
          <w:rFonts w:ascii="Calibri" w:hAnsi="Calibri"/>
          <w:color w:val="1B3A5C"/>
        </w:rPr>
        <w:t>1. Overview</w:t>
      </w:r>
    </w:p>
    <w:p>
      <w:r>
        <w:rPr>
          <w:rFonts w:ascii="Calibri" w:hAnsi="Calibri"/>
          <w:sz w:val="21"/>
        </w:rPr>
        <w:t>This document maps the capabilities of McKinsey, Deloitte, Accenture, BCG, and Bain to specific platform enhancements — organized by priority, complexity, and the consulting firm concept each enhancement draws from. The current platform has 37 database tables, 120 API endpoints, 5 AI agent modules, and 7 fully implemented steps. This roadmap builds on that foundation.</w:t>
      </w:r>
    </w:p>
    <w:p>
      <w:pPr>
        <w:pStyle w:val="Heading2"/>
      </w:pPr>
      <w:r>
        <w:rPr>
          <w:rFonts w:ascii="Calibri" w:hAnsi="Calibri"/>
          <w:color w:val="1B3A5C"/>
        </w:rPr>
        <w:t>Current Platform Strengths (Keep and Protect)</w:t>
      </w:r>
    </w:p>
    <w:p>
      <w:pPr>
        <w:pStyle w:val="ListBullet"/>
      </w:pPr>
      <w:r>
        <w:rPr>
          <w:rFonts w:ascii="Calibri" w:hAnsi="Calibri"/>
          <w:sz w:val="20"/>
        </w:rPr>
        <w:t>7-step pipeline with complete traceability</w:t>
      </w:r>
    </w:p>
    <w:p>
      <w:pPr>
        <w:pStyle w:val="ListBullet"/>
      </w:pPr>
      <w:r>
        <w:rPr>
          <w:rFonts w:ascii="Calibri" w:hAnsi="Calibri"/>
          <w:sz w:val="20"/>
        </w:rPr>
        <w:t>4-layer strategy model (Business + Digital + Data + Gen AI)</w:t>
      </w:r>
    </w:p>
    <w:p>
      <w:pPr>
        <w:pStyle w:val="ListBullet"/>
      </w:pPr>
      <w:r>
        <w:rPr>
          <w:rFonts w:ascii="Calibri" w:hAnsi="Calibri"/>
          <w:sz w:val="20"/>
        </w:rPr>
        <w:t>RICE quantitative scoring</w:t>
      </w:r>
    </w:p>
    <w:p>
      <w:pPr>
        <w:pStyle w:val="ListBullet"/>
      </w:pPr>
      <w:r>
        <w:rPr>
          <w:rFonts w:ascii="Calibri" w:hAnsi="Calibri"/>
          <w:sz w:val="20"/>
        </w:rPr>
        <w:t>3-tier OKR cascade (Strategic → Product → Delivery)</w:t>
      </w:r>
    </w:p>
    <w:p>
      <w:pPr>
        <w:pStyle w:val="ListBullet"/>
      </w:pPr>
      <w:r>
        <w:rPr>
          <w:rFonts w:ascii="Calibri" w:hAnsi="Calibri"/>
          <w:sz w:val="20"/>
        </w:rPr>
        <w:t>RAG knowledge base with semantic search</w:t>
      </w:r>
    </w:p>
    <w:p>
      <w:pPr>
        <w:pStyle w:val="ListBullet"/>
      </w:pPr>
      <w:r>
        <w:rPr>
          <w:rFonts w:ascii="Calibri" w:hAnsi="Calibri"/>
          <w:sz w:val="20"/>
        </w:rPr>
        <w:t>Human-in-the-loop review gates</w:t>
      </w:r>
    </w:p>
    <w:p>
      <w:pPr>
        <w:pStyle w:val="ListBullet"/>
      </w:pPr>
      <w:r>
        <w:rPr>
          <w:rFonts w:ascii="Calibri" w:hAnsi="Calibri"/>
          <w:sz w:val="20"/>
        </w:rPr>
        <w:t>Multi-source data ingestion (Finnhub, Alpha Vantage, Jira, ServiceNow)</w:t>
      </w:r>
    </w:p>
    <w:p>
      <w:pPr>
        <w:pStyle w:val="ListBullet"/>
      </w:pPr>
      <w:r>
        <w:rPr>
          <w:rFonts w:ascii="Calibri" w:hAnsi="Calibri"/>
          <w:sz w:val="20"/>
        </w:rPr>
        <w:t>Fallback resilience (API → AI → Template)</w:t>
      </w:r>
    </w:p>
    <w:p>
      <w:pPr>
        <w:pStyle w:val="Heading2"/>
      </w:pPr>
      <w:r>
        <w:rPr>
          <w:rFonts w:ascii="Calibri" w:hAnsi="Calibri"/>
          <w:color w:val="1B3A5C"/>
        </w:rPr>
        <w:t>Enhancement Categories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New Steps — </w:t>
      </w:r>
      <w:r>
        <w:rPr>
          <w:rFonts w:ascii="Calibri" w:hAnsi="Calibri"/>
          <w:sz w:val="20"/>
        </w:rPr>
        <w:t>Adding pipeline steps that don't exist today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Step Enhancements — </w:t>
      </w:r>
      <w:r>
        <w:rPr>
          <w:rFonts w:ascii="Calibri" w:hAnsi="Calibri"/>
          <w:sz w:val="20"/>
        </w:rPr>
        <w:t>Improving existing steps with consulting-grade capabilities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New AI Agents — </w:t>
      </w:r>
      <w:r>
        <w:rPr>
          <w:rFonts w:ascii="Calibri" w:hAnsi="Calibri"/>
          <w:sz w:val="20"/>
        </w:rPr>
        <w:t>Adding specialized agents for new capabilities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Data Integrations — </w:t>
      </w:r>
      <w:r>
        <w:rPr>
          <w:rFonts w:ascii="Calibri" w:hAnsi="Calibri"/>
          <w:sz w:val="20"/>
        </w:rPr>
        <w:t>Connecting new data sources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Post-Planning Features — </w:t>
      </w:r>
      <w:r>
        <w:rPr>
          <w:rFonts w:ascii="Calibri" w:hAnsi="Calibri"/>
          <w:sz w:val="20"/>
        </w:rPr>
        <w:t>Extending beyond planning into execution tracking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Platform Infrastructure — </w:t>
      </w:r>
      <w:r>
        <w:rPr>
          <w:rFonts w:ascii="Calibri" w:hAnsi="Calibri"/>
          <w:sz w:val="20"/>
        </w:rPr>
        <w:t>Cross-cutting improvements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2. Enhancement Roadmap: 25 Enhancements Across 4 Phases</w:t>
      </w:r>
    </w:p>
    <w:p>
      <w:pPr>
        <w:pStyle w:val="Heading2"/>
      </w:pPr>
      <w:r>
        <w:rPr>
          <w:rFonts w:ascii="Calibri" w:hAnsi="Calibri"/>
          <w:color w:val="1B3A5C"/>
        </w:rPr>
        <w:t>Phase 1: High Impact, Lower Complexity (Months 1-3)</w:t>
      </w:r>
    </w:p>
    <w:p>
      <w:r>
        <w:rPr>
          <w:rFonts w:ascii="Calibri" w:hAnsi="Calibri"/>
          <w:sz w:val="21"/>
        </w:rPr>
        <w:t>These enhancements can be built on the existing architecture with moderate development effort and deliver immediate differentiation.</w:t>
      </w:r>
    </w:p>
    <w:p>
      <w:pPr>
        <w:pStyle w:val="Heading3"/>
      </w:pPr>
      <w:r>
        <w:rPr>
          <w:rFonts w:ascii="Calibri" w:hAnsi="Calibri"/>
          <w:color w:val="1B3A5C"/>
        </w:rPr>
        <w:t>Enhancement 1: Organizational Readiness Assessment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McKinsey (Organizational Health Index), Bain (Capability Diagnostic)</w:t>
      </w:r>
    </w:p>
    <w:p>
      <w:r>
        <w:rPr>
          <w:rFonts w:ascii="Calibri" w:hAnsi="Calibri"/>
          <w:sz w:val="21"/>
        </w:rPr>
        <w:t>Before running the 7-step pipeline, assess the organization's readiness for transformation across 8 dimensions: leadership alignment, digital maturity, change capacity, talent readiness, data maturity, technology foundation, culture &amp; innovation, and governance.</w:t>
      </w:r>
    </w:p>
    <w:p>
      <w:r>
        <w:rPr>
          <w:rFonts w:ascii="Calibri" w:hAnsi="Calibri"/>
          <w:sz w:val="21"/>
        </w:rPr>
        <w:t>Consulting firms never start with strategy — they start with a diagnostic. McKinsey's OHI surveys 1,800+ organizations. Without this, BTA generates strategies the organization may not be capable of executing.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Measures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 Sources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Leadership Alignment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Executive consensus on transformation direction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Survey/questionnaire + RAG docs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Digital Maturity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Current state of digital capabilities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1 metrics + Jira/ServiceNow data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Change Capacity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Organization's ability to absorb change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Historical transformation track record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Talent Readiness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Skills availability for target capabilities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HR data integration or manual input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Data Maturity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Quality, accessibility, governance of data assets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Manual assessment or data catalog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Technology Foundation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Legacy vs modern stack, API readiness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Architecture docs via RAG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Culture &amp; Innovation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Risk tolerance, experimentation culture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Survey/questionnaire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Governance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Decision-making speed, compliance maturity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Regulatory docs via RAG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2-3 weeks</w:t>
      </w:r>
    </w:p>
    <w:p>
      <w:pPr>
        <w:pStyle w:val="Heading3"/>
      </w:pPr>
      <w:r>
        <w:rPr>
          <w:rFonts w:ascii="Calibri" w:hAnsi="Calibri"/>
          <w:color w:val="1B3A5C"/>
        </w:rPr>
        <w:t>Enhancement 2: AI Confidence Scoring on All Outputs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General consulting best practice (transparency builds trust)</w:t>
      </w:r>
    </w:p>
    <w:p>
      <w:r>
        <w:rPr>
          <w:rFonts w:ascii="Calibri" w:hAnsi="Calibri"/>
          <w:sz w:val="21"/>
        </w:rPr>
        <w:t>Add a confidence score (0-100%) to every AI-generated artifact. High-confidence items can be quickly approved; low-confidence items need deep review.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Raises Confidence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Lowers Confidence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Data availability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Financial data from APIs (verifiable)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No external data, AI-estimated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Upstream context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Builds on verified upstream outputs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Early in pipeline, limited context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Specificity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Company-specific insight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Generic industry pattern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RAG match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Strong RAG document match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 relevant documents found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1-2 weeks</w:t>
      </w:r>
    </w:p>
    <w:p>
      <w:pPr>
        <w:pStyle w:val="Heading3"/>
      </w:pPr>
      <w:r>
        <w:rPr>
          <w:rFonts w:ascii="Calibri" w:hAnsi="Calibri"/>
          <w:color w:val="1B3A5C"/>
        </w:rPr>
        <w:t>Enhancement 3: Digital Maturity Model Scoring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Deloitte (Digital Maturity Model — 5 levels across 7 dimensions)</w:t>
      </w:r>
    </w:p>
    <w:p>
      <w:r>
        <w:rPr>
          <w:rFonts w:ascii="Calibri" w:hAnsi="Calibri"/>
          <w:sz w:val="21"/>
        </w:rPr>
        <w:t>Score the organization's current digital maturity, then generate strategies that target specific maturity level improvements. Replaces generic "improve digital" strategies with precise "move from Level 2 to Level 4" recommendations.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Level 1: Initial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Level 3: Defined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Level 5: Optimized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Strategy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No digital strategy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Digital strategy exists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AI-first, continuous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Branch-only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Multi-channel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Omni-channel, personalized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Technology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Legacy monolith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Hybrid cloud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Cloud-native, API-first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Manual processes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Partially automated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AI-automated, self-healing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Organization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IT-centric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Cross-functional squads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Platform teams, DevOps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Culture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Risk-averse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Experimentation tolerated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Fail-fast, data-driven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Data &amp; Analytics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Siloed, batch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Centralized warehouse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Real-time, ML-powered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 weeks</w:t>
      </w:r>
    </w:p>
    <w:p>
      <w:pPr>
        <w:pStyle w:val="Heading3"/>
      </w:pPr>
      <w:r>
        <w:rPr>
          <w:rFonts w:ascii="Calibri" w:hAnsi="Calibri"/>
          <w:color w:val="1B3A5C"/>
        </w:rPr>
        <w:t>Enhancement 4: Regulatory Impact Assessment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Deloitte (RegTech Practice), banking-specific need</w:t>
      </w:r>
    </w:p>
    <w:p>
      <w:r>
        <w:rPr>
          <w:rFonts w:ascii="Calibri" w:hAnsi="Calibri"/>
          <w:sz w:val="21"/>
        </w:rPr>
        <w:t>Add a dedicated regulatory impact assessment between Steps 4 and 5. For each strategy, evaluate regulatory implications across OCC, Fed, FDIC, CFPB, and Basel III.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Regulation</w:t>
            </w:r>
          </w:p>
        </w:tc>
        <w:tc>
          <w:tcPr>
            <w:tcW w:type="dxa" w:w="4703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BTA Should Assess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OCC Model Risk (SR 11-7)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Any strategy involving AI/ML models in credit, pricing, or risk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Fair Lending (ECOA/FHA)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AI underwriting, pricing algorithms, marketing targeting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BSA/AML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Customer onboarding automation, transaction monitoring changes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Basel III / Capital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Strategies affecting RWA, capital allocation, liquidity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CFPB / Consumer Protection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Changes to consumer-facing products, fees, disclosures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Cyber / FFIEC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Technology transformation, cloud migration, API exposure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Third-Party Risk (OCC 2023-17)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BaaS partnerships, fintech relationships, vendor dependencies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2-3 weeks</w:t>
      </w:r>
    </w:p>
    <w:p>
      <w:pPr>
        <w:pStyle w:val="Heading3"/>
      </w:pPr>
      <w:r>
        <w:rPr>
          <w:rFonts w:ascii="Calibri" w:hAnsi="Calibri"/>
          <w:color w:val="1B3A5C"/>
        </w:rPr>
        <w:t>Enhancement 5: Results Tracking Dashboard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Bain (Results Delivery®)</w:t>
      </w:r>
    </w:p>
    <w:p>
      <w:r>
        <w:rPr>
          <w:rFonts w:ascii="Calibri" w:hAnsi="Calibri"/>
          <w:sz w:val="21"/>
        </w:rPr>
        <w:t>After plans are generated and approved, track execution progress. This turns BTA from a planning-only tool into a plan-to-execution tracker.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Update Frequency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OKR key result progress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Manual input or Jira sync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Weekly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Initiative status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BTA status field or Jira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Weekly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Epic completion %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Jira epic status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Real-time with sync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Feature delivery rate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Jira stories completed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Sprint-level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Strategy outcome metrics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Financial APIs (re-ingest Step 1)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Quarterly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</w:t>
      </w:r>
    </w:p>
    <w:p>
      <w:pPr>
        <w:pStyle w:val="Heading3"/>
      </w:pPr>
      <w:r>
        <w:rPr>
          <w:rFonts w:ascii="Calibri" w:hAnsi="Calibri"/>
          <w:color w:val="1B3A5C"/>
        </w:rPr>
        <w:t>Enhancement 6: Pilot / MVP Scoping for Top Initiatives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BCG (BCG X venture building), Lean Startup methodology</w:t>
      </w:r>
    </w:p>
    <w:p>
      <w:r>
        <w:rPr>
          <w:rFonts w:ascii="Calibri" w:hAnsi="Calibri"/>
          <w:sz w:val="21"/>
        </w:rPr>
        <w:t>For each Phase 1 initiative, auto-generate a pilot scope: minimum viable version, success criteria, pilot duration, team size, go/no-go criteria, and scale-up path.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1-2 weeks</w:t>
      </w:r>
    </w:p>
    <w:p>
      <w:pPr>
        <w:pStyle w:val="Heading3"/>
      </w:pPr>
      <w:r>
        <w:rPr>
          <w:rFonts w:ascii="Calibri" w:hAnsi="Calibri"/>
          <w:color w:val="1B3A5C"/>
        </w:rPr>
        <w:t>Enhancement 7: Multi-Scenario Strategy Generation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McKinsey (scenario planning), BCG (strategic options)</w:t>
      </w:r>
    </w:p>
    <w:p>
      <w:r>
        <w:rPr>
          <w:rFonts w:ascii="Calibri" w:hAnsi="Calibri"/>
          <w:sz w:val="21"/>
        </w:rPr>
        <w:t>Generate 3 scenarios: Conservative (low risk), Balanced (moderate risk), and Aggressive (high risk). Leaders compare scenarios at the Step 4 review gate and choose their direction.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2-3 weeks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B3A5C"/>
        </w:rPr>
        <w:t>Phase 2: Medium Impact, Medium Complexity (Months 4-6)</w:t>
      </w:r>
    </w:p>
    <w:p>
      <w:r>
        <w:rPr>
          <w:rFonts w:ascii="Calibri" w:hAnsi="Calibri"/>
          <w:sz w:val="21"/>
        </w:rPr>
        <w:t>These enhancements require more significant development but build capabilities that consulting firms consider core to their practice.</w:t>
      </w:r>
    </w:p>
    <w:p>
      <w:pPr>
        <w:pStyle w:val="Heading3"/>
      </w:pPr>
      <w:r>
        <w:rPr>
          <w:rFonts w:ascii="Calibri" w:hAnsi="Calibri"/>
          <w:color w:val="1B3A5C"/>
        </w:rPr>
        <w:t>Enhancement 8: Customer Journey / Episode Mapping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Bain (Customer Episode Mapping), general CX practice</w:t>
      </w:r>
    </w:p>
    <w:p>
      <w:r>
        <w:rPr>
          <w:rFonts w:ascii="Calibri" w:hAnsi="Calibri"/>
          <w:sz w:val="21"/>
        </w:rPr>
        <w:t>Map end-to-end customer episodes from awareness through renewal. Identify pain points, moments of truth, and emotion curves. Journey pain points feed into Step 2 improvement levers and Step 3 SWOT weaknesses.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</w:t>
      </w:r>
    </w:p>
    <w:p>
      <w:pPr>
        <w:pStyle w:val="Heading3"/>
      </w:pPr>
      <w:r>
        <w:rPr>
          <w:rFonts w:ascii="Calibri" w:hAnsi="Calibri"/>
          <w:color w:val="1B3A5C"/>
        </w:rPr>
        <w:t>Enhancement 9: Target Operating Model (TOM) Design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Deloitte (Target Operating Model framework)</w:t>
      </w:r>
    </w:p>
    <w:p>
      <w:r>
        <w:rPr>
          <w:rFonts w:ascii="Calibri" w:hAnsi="Calibri"/>
          <w:sz w:val="21"/>
        </w:rPr>
        <w:t>Generate a comprehensive Target Operating Model covering: organizational structure, governance, process architecture, technology architecture, data architecture, talent model, and partner ecosystem. This is what Deloitte charges $3M+ for.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Covers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AI Source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Organization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Reporting structure, spans of control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6 teams + strategies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Governance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Decision rights, steering committees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Review gates + RAG org docs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Processes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Core/support/management processes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2 value streams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Technology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Architecture patterns, platforms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4 digital strategy + RAG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Data domains, ownership, quality standards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4 data strategy + RAG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Talent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Roles, skills, hiring/upskilling needs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6 teams + initiatives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Partners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Vendor ecosystem, BaaS partners, SIs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5 initiatives + RAG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4-5 weeks</w:t>
      </w:r>
    </w:p>
    <w:p>
      <w:pPr>
        <w:pStyle w:val="Heading3"/>
      </w:pPr>
      <w:r>
        <w:rPr>
          <w:rFonts w:ascii="Calibri" w:hAnsi="Calibri"/>
          <w:color w:val="1B3A5C"/>
        </w:rPr>
        <w:t>Enhancement 10: Change Management Plan Generation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All firms (Prosci ADKAR, Kotter's 8 Steps, McKinsey Influence Model)</w:t>
      </w:r>
    </w:p>
    <w:p>
      <w:r>
        <w:rPr>
          <w:rFonts w:ascii="Calibri" w:hAnsi="Calibri"/>
          <w:sz w:val="21"/>
        </w:rPr>
        <w:t>For each major initiative, generate a change management plan. This addresses the biggest gap — BTA generates what to build but not how to get adoption.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703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AI Generates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Stakeholder Impact Map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Who is affected, how, positive/negative impact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Awareness Plan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Key messages per audience, communication channels, timing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Desire Building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WIIFM (what's in it for me) per stakeholder group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Knowledge / Training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Training programs needed, skill gaps, timeline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Ability / Enablement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Tools, resources, support structures required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Reinforcement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Metrics to track adoption, feedback mechanisms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Resistance Analysis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Sources of resistance, severity, mitigation strategies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</w:t>
      </w:r>
    </w:p>
    <w:p>
      <w:pPr>
        <w:pStyle w:val="Heading3"/>
      </w:pPr>
      <w:r>
        <w:rPr>
          <w:rFonts w:ascii="Calibri" w:hAnsi="Calibri"/>
          <w:color w:val="1B3A5C"/>
        </w:rPr>
        <w:t>Enhancement 11: Enhanced RICE with Multi-Dimensional Feasibility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BCG (Strategic Initiatives Portfolio — SIP)</w:t>
      </w:r>
    </w:p>
    <w:p>
      <w:r>
        <w:rPr>
          <w:rFonts w:ascii="Calibri" w:hAnsi="Calibri"/>
          <w:sz w:val="21"/>
        </w:rPr>
        <w:t>Extend RICE scoring with 5 feasibility dimensions: technical, organizational, regulatory, financial, and talent. Replaces single "Effort" number with richer assessment.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 weeks</w:t>
      </w:r>
    </w:p>
    <w:p>
      <w:pPr>
        <w:pStyle w:val="Heading3"/>
      </w:pPr>
      <w:r>
        <w:rPr>
          <w:rFonts w:ascii="Calibri" w:hAnsi="Calibri"/>
          <w:color w:val="1B3A5C"/>
        </w:rPr>
        <w:t>Enhancement 12: Transformation Patterns Database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BCG (2,000+ Value Patterns)</w:t>
      </w:r>
    </w:p>
    <w:p>
      <w:r>
        <w:rPr>
          <w:rFonts w:ascii="Calibri" w:hAnsi="Calibri"/>
          <w:sz w:val="21"/>
        </w:rPr>
        <w:t>Build a structured database of banking transformation patterns — reusable plays that have worked in similar situations.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135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Typical Outcome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Core Banking Modernization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Legacy platform &gt;15 years old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40% cost reduction, 60% faster launches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API-First Platform Play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Digital channel fragmentation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3x faster partner integration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AI Underwriting Acceleration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Manual underwriting &gt;50%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60-70% auto-decision rate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Real-Time Payments Migration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T+1 settlement gap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Premium pricing opportunity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BaaS / Embedded Finance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Fintech competitive pressure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10-20 partners in Year 1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Customer 360 / CDP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Siloed customer data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15-25% cross-sell increase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Gen AI Operations Copilot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 efficiency ratio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20-30% analyst productivity gain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 (ongoing pattern curation)</w:t>
      </w:r>
    </w:p>
    <w:p>
      <w:pPr>
        <w:pStyle w:val="Heading3"/>
      </w:pPr>
      <w:r>
        <w:rPr>
          <w:rFonts w:ascii="Calibri" w:hAnsi="Calibri"/>
          <w:color w:val="1B3A5C"/>
        </w:rPr>
        <w:t>Enhancement 13: Technology Architecture Recommendations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Accenture (myNav, platform-based transformation), Deloitte (TOM technology layer)</w:t>
      </w:r>
    </w:p>
    <w:p>
      <w:r>
        <w:rPr>
          <w:rFonts w:ascii="Calibri" w:hAnsi="Calibri"/>
          <w:sz w:val="21"/>
        </w:rPr>
        <w:t>For each initiative, generate technology architecture recommendations: platforms, integration patterns, build vs buy, cloud architecture, and technology risks.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2-3 weeks</w:t>
      </w:r>
    </w:p>
    <w:p>
      <w:pPr>
        <w:pStyle w:val="Heading3"/>
      </w:pPr>
      <w:r>
        <w:rPr>
          <w:rFonts w:ascii="Calibri" w:hAnsi="Calibri"/>
          <w:color w:val="1B3A5C"/>
        </w:rPr>
        <w:t>Enhancement 14: Financial Business Case per Initiative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All firms (ROI analysis is table stakes)</w:t>
      </w:r>
    </w:p>
    <w:p>
      <w:r>
        <w:rPr>
          <w:rFonts w:ascii="Calibri" w:hAnsi="Calibri"/>
          <w:sz w:val="21"/>
        </w:rPr>
        <w:t>For each initiative, generate: estimated investment cost, projected annual benefit, NPV, payback period, and ROI using Step 1 financials and industry benchmarks.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 weeks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B3A5C"/>
        </w:rPr>
        <w:t>Phase 3: High Impact, Higher Complexity (Months 7-9)</w:t>
      </w:r>
    </w:p>
    <w:p>
      <w:r>
        <w:rPr>
          <w:rFonts w:ascii="Calibri" w:hAnsi="Calibri"/>
          <w:sz w:val="21"/>
        </w:rPr>
        <w:t>These enhancements require significant development but create major differentiation against consulting firms.</w:t>
      </w:r>
    </w:p>
    <w:p>
      <w:pPr>
        <w:pStyle w:val="Heading3"/>
      </w:pPr>
      <w:r>
        <w:rPr>
          <w:rFonts w:ascii="Calibri" w:hAnsi="Calibri"/>
          <w:color w:val="1B3A5C"/>
        </w:rPr>
        <w:t>Enhancement 15: Process Mining Integration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Deloitte (COMET), Celonis/UiPath ecosystem</w:t>
      </w:r>
    </w:p>
    <w:p>
      <w:r>
        <w:rPr>
          <w:rFonts w:ascii="Calibri" w:hAnsi="Calibri"/>
          <w:sz w:val="21"/>
        </w:rPr>
        <w:t>Replace AI-guessed value streams with actual process data from process mining platforms (Celonis, UiPath, Microsoft Process Advisor). Lifts Step 2 accuracy from 60-70% to 85-90%.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4-5 weeks</w:t>
      </w:r>
    </w:p>
    <w:p>
      <w:pPr>
        <w:pStyle w:val="Heading3"/>
      </w:pPr>
      <w:r>
        <w:rPr>
          <w:rFonts w:ascii="Calibri" w:hAnsi="Calibri"/>
          <w:color w:val="1B3A5C"/>
        </w:rPr>
        <w:t>Enhancement 16: Advanced Risk Modeling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McKinsey (risk quantification), BCG (scenario analysis)</w:t>
      </w:r>
    </w:p>
    <w:p>
      <w:r>
        <w:rPr>
          <w:rFonts w:ascii="Calibri" w:hAnsi="Calibri"/>
          <w:sz w:val="21"/>
        </w:rPr>
        <w:t>Replace simple risk levels with quantified risk modeling: probability, financial impact, risk velocity, and risk correlation. Generate Monte Carlo simulation for portfolio-level risk.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4-5 weeks</w:t>
      </w:r>
    </w:p>
    <w:p>
      <w:pPr>
        <w:pStyle w:val="Heading3"/>
      </w:pPr>
      <w:r>
        <w:rPr>
          <w:rFonts w:ascii="Calibri" w:hAnsi="Calibri"/>
          <w:color w:val="1B3A5C"/>
        </w:rPr>
        <w:t>Enhancement 17: Feedback Loop Learning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Bain (Results Delivery®)</w:t>
      </w:r>
    </w:p>
    <w:p>
      <w:r>
        <w:rPr>
          <w:rFonts w:ascii="Calibri" w:hAnsi="Calibri"/>
          <w:sz w:val="21"/>
        </w:rPr>
        <w:t>When human reviewers modify AI outputs, capture the delta and use it to improve future generations. Over time, the platform learns what "good" looks like for each organization.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</w:t>
      </w:r>
    </w:p>
    <w:p>
      <w:pPr>
        <w:pStyle w:val="Heading3"/>
      </w:pPr>
      <w:r>
        <w:rPr>
          <w:rFonts w:ascii="Calibri" w:hAnsi="Calibri"/>
          <w:color w:val="1B3A5C"/>
        </w:rPr>
        <w:t>Enhancement 18: Multi-Model Validation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Scientific peer review</w:t>
      </w:r>
    </w:p>
    <w:p>
      <w:r>
        <w:rPr>
          <w:rFonts w:ascii="Calibri" w:hAnsi="Calibri"/>
          <w:sz w:val="21"/>
        </w:rPr>
        <w:t>For critical outputs, run the same prompt through 2-3 AI models (GPT-4o, Claude, Gemini). Where models agree, confidence is high. Where they disagree, surface for human review.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</w:t>
      </w:r>
    </w:p>
    <w:p>
      <w:pPr>
        <w:pStyle w:val="Heading3"/>
      </w:pPr>
      <w:r>
        <w:rPr>
          <w:rFonts w:ascii="Calibri" w:hAnsi="Calibri"/>
          <w:color w:val="1B3A5C"/>
        </w:rPr>
        <w:t>Enhancement 19: Industry-Specific Agent Profiles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All firms (banking, insurance, healthcare practices are distinct)</w:t>
      </w:r>
    </w:p>
    <w:p>
      <w:r>
        <w:rPr>
          <w:rFonts w:ascii="Calibri" w:hAnsi="Calibri"/>
          <w:sz w:val="21"/>
        </w:rPr>
        <w:t>Create industry-specific agent configurations that customize prompts, templates, regulatory frameworks, benchmarks, and transformation patterns.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4-6 weeks</w:t>
      </w:r>
    </w:p>
    <w:p>
      <w:pPr>
        <w:pStyle w:val="Heading3"/>
      </w:pPr>
      <w:r>
        <w:rPr>
          <w:rFonts w:ascii="Calibri" w:hAnsi="Calibri"/>
          <w:color w:val="1B3A5C"/>
        </w:rPr>
        <w:t>Enhancement 20: Stakeholder Collaboration and Workflow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All firms (multi-stakeholder collaboration)</w:t>
      </w:r>
    </w:p>
    <w:p>
      <w:r>
        <w:rPr>
          <w:rFonts w:ascii="Calibri" w:hAnsi="Calibri"/>
          <w:sz w:val="21"/>
        </w:rPr>
        <w:t>Add multi-user collaboration: role-based access, commenting on any artifact, approval workflows, and notifications. Currently single-user.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5-6 weeks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B3A5C"/>
        </w:rPr>
        <w:t>Phase 4: Strategic Differentiators (Months 10-12)</w:t>
      </w:r>
    </w:p>
    <w:p>
      <w:r>
        <w:rPr>
          <w:rFonts w:ascii="Calibri" w:hAnsi="Calibri"/>
          <w:sz w:val="21"/>
        </w:rPr>
        <w:t>These enhancements create capabilities that even consulting firms struggle to deliver — unique to the AI-accelerated model.</w:t>
      </w:r>
    </w:p>
    <w:p>
      <w:pPr>
        <w:pStyle w:val="Heading3"/>
      </w:pPr>
      <w:r>
        <w:rPr>
          <w:rFonts w:ascii="Calibri" w:hAnsi="Calibri"/>
          <w:color w:val="1B3A5C"/>
        </w:rPr>
        <w:t>Enhancement 21: Continuous Transformation Engine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Accenture (Total Enterprise Reinvention — continuous, not periodic)</w:t>
      </w:r>
    </w:p>
    <w:p>
      <w:r>
        <w:rPr>
          <w:rFonts w:ascii="Calibri" w:hAnsi="Calibri"/>
          <w:sz w:val="21"/>
        </w:rPr>
        <w:t>Automate periodic re-runs of the pipeline. Schedule quarterly refreshes that re-ingest data, re-benchmark competitors, re-evaluate SWOT, and identify strategy drift. Generate a Delta Report showing changes.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5-6 weeks</w:t>
      </w:r>
    </w:p>
    <w:p>
      <w:pPr>
        <w:pStyle w:val="Heading3"/>
      </w:pPr>
      <w:r>
        <w:rPr>
          <w:rFonts w:ascii="Calibri" w:hAnsi="Calibri"/>
          <w:color w:val="1B3A5C"/>
        </w:rPr>
        <w:t>Enhancement 22: Competitive Intelligence Monitoring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McKinsey (competitive strategy practice)</w:t>
      </w:r>
    </w:p>
    <w:p>
      <w:r>
        <w:rPr>
          <w:rFonts w:ascii="Calibri" w:hAnsi="Calibri"/>
          <w:sz w:val="21"/>
        </w:rPr>
        <w:t>Continuously monitor competitors' financial performance, news, regulatory actions, and strategic moves. Auto-update SWOT threats and opportunities.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3-4 weeks</w:t>
      </w:r>
    </w:p>
    <w:p>
      <w:pPr>
        <w:pStyle w:val="Heading3"/>
      </w:pPr>
      <w:r>
        <w:rPr>
          <w:rFonts w:ascii="Calibri" w:hAnsi="Calibri"/>
          <w:color w:val="1B3A5C"/>
        </w:rPr>
        <w:t>Enhancement 23: Benchmarking Database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McKinsey (OHI benchmarks), BCG (Value Patterns benchmarks)</w:t>
      </w:r>
    </w:p>
    <w:p>
      <w:r>
        <w:rPr>
          <w:rFonts w:ascii="Calibri" w:hAnsi="Calibri"/>
          <w:sz w:val="21"/>
        </w:rPr>
        <w:t>Build a proprietary benchmarking database from anonymized platform usage. Offer benchmarks like "Your efficiency ratio target is in the 75th percentile for banks your size."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4-5 weeks</w:t>
      </w:r>
    </w:p>
    <w:p>
      <w:pPr>
        <w:pStyle w:val="Heading3"/>
      </w:pPr>
      <w:r>
        <w:rPr>
          <w:rFonts w:ascii="Calibri" w:hAnsi="Calibri"/>
          <w:color w:val="1B3A5C"/>
        </w:rPr>
        <w:t>Enhancement 24: Executive Briefing Auto-Generation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McKinsey (partner-quality executive presentations)</w:t>
      </w:r>
    </w:p>
    <w:p>
      <w:r>
        <w:rPr>
          <w:rFonts w:ascii="Calibri" w:hAnsi="Calibri"/>
          <w:sz w:val="21"/>
        </w:rPr>
        <w:t>Auto-generate a board-ready executive briefing: 1-page summary, key strategic choices, financial impact, risk summary, and next steps. Export as PowerPoint or PDF.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2-3 weeks</w:t>
      </w:r>
    </w:p>
    <w:p>
      <w:pPr>
        <w:pStyle w:val="Heading3"/>
      </w:pPr>
      <w:r>
        <w:rPr>
          <w:rFonts w:ascii="Calibri" w:hAnsi="Calibri"/>
          <w:color w:val="1B3A5C"/>
        </w:rPr>
        <w:t>Enhancement 25: Transformation ROI Calculator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Inspired by:</w:t>
      </w:r>
      <w:r>
        <w:rPr>
          <w:rFonts w:ascii="Calibri" w:hAnsi="Calibri"/>
          <w:sz w:val="21"/>
        </w:rPr>
        <w:t xml:space="preserve"> All firms (ROI quantification)</w:t>
      </w:r>
    </w:p>
    <w:p>
      <w:r>
        <w:rPr>
          <w:rFonts w:ascii="Calibri" w:hAnsi="Calibri"/>
          <w:sz w:val="21"/>
        </w:rPr>
        <w:t>Portfolio-level ROI view: total investment, projected benefits by year, NPV, payback period, and sensitivity analysis. Compare "do nothing" baseline with transformation scenario.</w:t>
      </w:r>
    </w:p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Effort:</w:t>
      </w:r>
      <w:r>
        <w:rPr>
          <w:rFonts w:ascii="Calibri" w:hAnsi="Calibri"/>
          <w:sz w:val="21"/>
        </w:rPr>
        <w:t xml:space="preserve"> 2-3 weeks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3. Prioritization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Inspired By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Organizational Readiness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McKinsey OHI, Bain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2-3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AI Confidence Scoring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Best practice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1-2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Digital Maturity Model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Deloitte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Regulatory Impact Assessment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Deloitte RegTech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2-3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Results Tracking Dashboard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Bain Results Delivery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Pilot / MVP Scoping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BCG X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1-2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Multi-Scenario Strategy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McKinsey, BCG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2-3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Customer Journey Mapping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Bain Episode Mapping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Target Operating Model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Deloitte TOM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4-5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Change Management Plans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Kotter/ADKAR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Enhanced RICE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BCG SIP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Transformation Patterns DB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BCG Value Patterns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Technology Architecture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Accenture, Deloitte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2-3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Financial Business Case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All firms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Process Mining Integration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Deloitte COMET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4-5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Advanced Risk Modeling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McKinsey, BCG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4-5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Feedback Loop Learning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Bain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Multi-Model Validation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Scientific method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Industry-Specific Agents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All firms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4-6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Stakeholder Collaboration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All firms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5-6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Continuous Transformation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Accenture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5-6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4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Competitive Intelligence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McKinsey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3-4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4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Benchmarking Database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McKinsey/BCG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4-5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4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Executive Briefing Generator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McKinsey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2-3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4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Transformation ROI Calculator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All firms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2-3 wks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4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4. Expected Impact on Platform Accuracy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After Phase 1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After Phase 2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After Phase 3</w:t>
            </w:r>
          </w:p>
        </w:tc>
        <w:tc>
          <w:tcPr>
            <w:tcW w:type="dxa" w:w="1568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After Phase 4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1: Financial Analysis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90-95%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90-95%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90-95%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92-97%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93-98%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2: Value Streams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60-70%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65-75%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70-80%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85-90%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85-92%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3: SWOT/TOWS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65-75%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70-80%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75-82%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78-85%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80-88%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4: Strategy &amp; OKRs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50-65%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60-72%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68-78%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72-82%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75-85%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5: Initiatives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60-70%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65-75%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72-82%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76-85%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78-88%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6: Epics &amp; Teams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55-65%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60-70%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70-78%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74-82%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76-85%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Step 7: Features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70-80%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72-82%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75-85%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78-87%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80-88%</w:t>
            </w:r>
          </w:p>
        </w:tc>
      </w:tr>
      <w:tr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Overall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65-75%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70-78%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75-83%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79-87%</w:t>
            </w:r>
          </w:p>
        </w:tc>
        <w:tc>
          <w:tcPr>
            <w:tcW w:type="dxa" w:w="15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81-89%</w:t>
            </w:r>
          </w:p>
        </w:tc>
      </w:tr>
    </w:tbl>
    <w:p/>
    <w:p>
      <w:r>
        <w:rPr>
          <w:rFonts w:ascii="Calibri" w:hAnsi="Calibri"/>
          <w:sz w:val="21"/>
        </w:rPr>
        <w:t>The biggest accuracy jumps come from:</w:t>
      </w:r>
    </w:p>
    <w:p>
      <w:pPr>
        <w:pStyle w:val="ListBullet"/>
      </w:pPr>
      <w:r>
        <w:rPr>
          <w:rFonts w:ascii="Calibri" w:hAnsi="Calibri"/>
          <w:sz w:val="20"/>
        </w:rPr>
        <w:t>Process Mining Integration (Phase 3): Step 2 jumps 15-20pp</w:t>
      </w:r>
    </w:p>
    <w:p>
      <w:pPr>
        <w:pStyle w:val="ListBullet"/>
      </w:pPr>
      <w:r>
        <w:rPr>
          <w:rFonts w:ascii="Calibri" w:hAnsi="Calibri"/>
          <w:sz w:val="20"/>
        </w:rPr>
        <w:t>Organizational Readiness + Digital Maturity (Phase 1): Steps 4 and 6 jump 5-10pp</w:t>
      </w:r>
    </w:p>
    <w:p>
      <w:pPr>
        <w:pStyle w:val="ListBullet"/>
      </w:pPr>
      <w:r>
        <w:rPr>
          <w:rFonts w:ascii="Calibri" w:hAnsi="Calibri"/>
          <w:sz w:val="20"/>
        </w:rPr>
        <w:t>Feedback Loop Learning (Phase 3): All steps improve 3-5pp over time</w:t>
      </w:r>
    </w:p>
    <w:p>
      <w:pPr>
        <w:pStyle w:val="ListBullet"/>
      </w:pPr>
      <w:r>
        <w:rPr>
          <w:rFonts w:ascii="Calibri" w:hAnsi="Calibri"/>
          <w:sz w:val="20"/>
        </w:rPr>
        <w:t>Industry-Specific Agents (Phase 3): Steps 2-4 improve 5-8pp</w:t>
      </w:r>
    </w:p>
    <w:p>
      <w:pPr>
        <w:pStyle w:val="Heading1"/>
      </w:pPr>
      <w:r>
        <w:rPr>
          <w:rFonts w:ascii="Calibri" w:hAnsi="Calibri"/>
          <w:color w:val="1B3A5C"/>
        </w:rPr>
        <w:t>5. Total Development Effort Estimate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Enhancements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Estimated Effort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Cumulative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1 (Months 1-3)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7 enhancements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14-20 weeks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14-20 weeks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2 (Months 4-6)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 enhancements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20-27 weeks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34-47 weeks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3 (Months 7-9)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6 enhancements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24-31 weeks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58-78 weeks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Phase 4 (Months 10-12)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5 enhancements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16-21 weeks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74-99 weeks</w:t>
            </w:r>
          </w:p>
        </w:tc>
      </w:tr>
    </w:tbl>
    <w:p/>
    <w:p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With a team of 2-3 full-stack developers, the complete roadmap is achievable in 12-15 months.</w:t>
      </w:r>
      <w:r>
        <w:rPr>
          <w:rFonts w:ascii="Calibri" w:hAnsi="Calibri"/>
          <w:sz w:val="21"/>
        </w:rPr>
        <w:t xml:space="preserve"> Phase 1 alone (achievable in 3 months with 2 developers) would significantly close the gap with consulting firms on the planning dimension.</w:t>
      </w:r>
    </w:p>
    <w:p>
      <w:pPr>
        <w:pStyle w:val="Heading1"/>
      </w:pPr>
      <w:r>
        <w:rPr>
          <w:rFonts w:ascii="Calibri" w:hAnsi="Calibri"/>
          <w:color w:val="1B3A5C"/>
        </w:rPr>
        <w:t>6. Competitive Positioning After Full 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BTA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After Full Roadmap</w:t>
            </w:r>
          </w:p>
        </w:tc>
        <w:tc>
          <w:tcPr>
            <w:tcW w:type="dxa" w:w="2351"/>
            <w:shd w:fill="1B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Top Consulting Firm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Strategy quality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Good (first draft)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Good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Organizational assessment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Not addressed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(McKinsey OHI)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Regulatory depth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Basic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(Deloitte)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Change management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Not addressed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Good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Operating model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Partial (teams only)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Good (full TOM)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Good (Deloitte)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Risk modeling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Basic (H/M/L)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Good (Monte Carlo)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Good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Traceability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(100%)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(100%)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Weak-Moderate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Speed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(5 min)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(5 min)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Poor (weeks-months)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($0.05)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($0.05)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Poor ($2M-10M)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Iteration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($0.05)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Excellent + continuous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Poor ($500K+)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Execution tracking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Not addressed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r/>
            <w:r>
              <w:rPr>
                <w:rFonts w:ascii="Calibri" w:hAnsi="Calibri"/>
                <w:sz w:val="18"/>
              </w:rPr>
              <w:t>Very Good (Bain)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Accuracy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65-75%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81-89%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BF1F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85-95%</w:t>
            </w:r>
          </w:p>
        </w:tc>
      </w:tr>
    </w:tbl>
    <w:p/>
    <w:p>
      <w:r>
        <w:rPr>
          <w:rFonts w:ascii="Calibri" w:hAnsi="Calibri"/>
          <w:b/>
          <w:sz w:val="22"/>
        </w:rPr>
      </w:r>
      <w:r>
        <w:rPr>
          <w:rFonts w:ascii="Calibri" w:hAnsi="Calibri"/>
          <w:b/>
          <w:sz w:val="22"/>
        </w:rPr>
        <w:t>After the full roadmap, BTA reaches 85-90% of consulting firm capability at 0.01% of the cost — a compelling value proposition for any market segment.</w:t>
      </w:r>
      <w:r>
        <w:rPr>
          <w:rFonts w:ascii="Calibri" w:hAnsi="Calibri"/>
          <w:b/>
          <w:sz w:val="22"/>
        </w:rPr>
      </w:r>
    </w:p>
    <w:p/>
    <w:p>
      <w:r>
        <w:rPr>
          <w:rFonts w:ascii="Calibri" w:hAnsi="Calibri"/>
          <w:i/>
          <w:sz w:val="21"/>
        </w:rPr>
        <w:t>This roadmap is designed to be executed incrementally. Each phase delivers standalone value. Organizations should evaluate which enhancements matter most for their specific market positioning and prioritize accordingly.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