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5C"/>
        </w:rPr>
        <w:t>BTA Platform Enhancement Overview</w:t>
      </w:r>
    </w:p>
    <w:p>
      <w:r>
        <w:rPr>
          <w:rFonts w:ascii="Calibri" w:hAnsi="Calibri"/>
          <w:i/>
          <w:sz w:val="26"/>
        </w:rPr>
        <w:t>25 Enhancements: What Will Be Built, How It Will Look, and What Benefit It Delivers</w:t>
      </w:r>
    </w:p>
    <w:p/>
    <w:p>
      <w:r>
        <w:rPr>
          <w:rFonts w:ascii="Calibri" w:hAnsi="Calibri"/>
          <w:sz w:val="21"/>
        </w:rPr>
        <w:t>This document provides a visual and functional overview of each planned enhancement to the BTA (Business Transformation Architect) platform. For each enhancement, three questions are answered:</w:t>
      </w:r>
    </w:p>
    <w:p>
      <w:pPr>
        <w:pStyle w:val="ListBullet"/>
      </w:pPr>
      <w:r>
        <w:rPr>
          <w:rFonts w:ascii="Calibri" w:hAnsi="Calibri"/>
          <w:sz w:val="20"/>
        </w:rPr>
        <w:t>What will be implemented — the technical capability being added</w:t>
      </w:r>
    </w:p>
    <w:p>
      <w:pPr>
        <w:pStyle w:val="ListBullet"/>
      </w:pPr>
      <w:r>
        <w:rPr>
          <w:rFonts w:ascii="Calibri" w:hAnsi="Calibri"/>
          <w:sz w:val="20"/>
        </w:rPr>
        <w:t>How it will look — the user experience and visual design</w:t>
      </w:r>
    </w:p>
    <w:p>
      <w:pPr>
        <w:pStyle w:val="ListBullet"/>
      </w:pPr>
      <w:r>
        <w:rPr>
          <w:rFonts w:ascii="Calibri" w:hAnsi="Calibri"/>
          <w:sz w:val="20"/>
        </w:rPr>
        <w:t>What benefit it delivers — the business value and competitive advantage</w:t>
      </w:r>
    </w:p>
    <w:p>
      <w:r>
        <w:rPr>
          <w:rFonts w:ascii="Calibri" w:hAnsi="Calibri"/>
          <w:sz w:val="21"/>
        </w:rPr>
        <w:t>These enhancements are organized across 4 phases spanning 12 months, progressing from quick wins to strategic differentiators that even top consulting firms cannot match.</w:t>
      </w:r>
    </w:p>
    <w:p>
      <w:r>
        <w:br w:type="page"/>
      </w:r>
    </w:p>
    <w:p>
      <w:pPr>
        <w:pStyle w:val="Heading1"/>
      </w:pPr>
      <w:r>
        <w:rPr>
          <w:rFonts w:ascii="Calibri" w:hAnsi="Calibri"/>
          <w:color w:val="1B3A5C"/>
        </w:rPr>
        <w:t>Phase 1: High Impact, Lower Complexity (Months 1-3)</w:t>
      </w:r>
    </w:p>
    <w:p>
      <w:r>
        <w:rPr>
          <w:rFonts w:ascii="Calibri" w:hAnsi="Calibri"/>
          <w:i/>
          <w:sz w:val="21"/>
        </w:rPr>
        <w:t>7 enhancements that can be built on the existing architecture with moderate effort, delivering immediate differentiation.</w:t>
      </w:r>
    </w:p>
    <w:p/>
    <w:p>
      <w:pPr>
        <w:pStyle w:val="Heading3"/>
      </w:pPr>
      <w:r>
        <w:rPr>
          <w:rFonts w:ascii="Calibri" w:hAnsi="Calibri"/>
          <w:color w:val="1B3A5C"/>
        </w:rPr>
        <w:t>Enhancement 1: Organizational Readiness Assessment</w:t>
      </w:r>
    </w:p>
    <w:p>
      <w:r>
        <w:rPr>
          <w:rFonts w:ascii="Calibri" w:hAnsi="Calibri"/>
          <w:b/>
          <w:color w:val="2E75B6"/>
          <w:sz w:val="20"/>
        </w:rPr>
        <w:t xml:space="preserve">Inspired by: </w:t>
      </w:r>
      <w:r>
        <w:rPr>
          <w:rFonts w:ascii="Calibri" w:hAnsi="Calibri"/>
          <w:i/>
          <w:sz w:val="20"/>
        </w:rPr>
        <w:t>McKinsey (Organizational Health Index), Bain (Capability Diagnostic)</w:t>
      </w:r>
    </w:p>
    <w:p>
      <w:r>
        <w:rPr>
          <w:rFonts w:ascii="Calibri" w:hAnsi="Calibri"/>
          <w:b/>
          <w:color w:val="1B3A5C"/>
          <w:sz w:val="20"/>
        </w:rPr>
        <w:t xml:space="preserve">What Will Be Implemented: </w:t>
      </w:r>
      <w:r>
        <w:rPr>
          <w:rFonts w:ascii="Calibri" w:hAnsi="Calibri"/>
          <w:sz w:val="20"/>
        </w:rPr>
        <w:t>A new "Step 0" that runs before the 7-step pipeline. Assesses the organization across 8 dimensions — leadership alignment, digital maturity, change capacity, talent readiness, data maturity, technology foundation, culture &amp; innovation, and governance. Each dimension gets a 1-5 score with evidence.</w:t>
      </w:r>
    </w:p>
    <w:p>
      <w:r>
        <w:rPr>
          <w:rFonts w:ascii="Calibri" w:hAnsi="Calibri"/>
          <w:b/>
          <w:color w:val="1B3A5C"/>
          <w:sz w:val="20"/>
        </w:rPr>
        <w:t xml:space="preserve">How It Will Look: </w:t>
      </w:r>
      <w:r>
        <w:rPr>
          <w:rFonts w:ascii="Calibri" w:hAnsi="Calibri"/>
          <w:sz w:val="20"/>
        </w:rPr>
        <w:t>A new "Readiness" tab appears before Step 1. Users see a radar chart showing all 8 dimensions with current scores. Each dimension is expandable — showing the AI's assessment, evidence, and recommendations. Users can override AI scores with their own assessment.</w:t>
      </w:r>
    </w:p>
    <w:p>
      <w:r>
        <w:rPr>
          <w:rFonts w:ascii="Calibri" w:hAnsi="Calibri"/>
          <w:b/>
          <w:color w:val="1B3A5C"/>
          <w:sz w:val="20"/>
        </w:rPr>
        <w:t xml:space="preserve">Key Benefit: </w:t>
      </w:r>
      <w:r>
        <w:rPr>
          <w:rFonts w:ascii="Calibri" w:hAnsi="Calibri"/>
          <w:sz w:val="20"/>
        </w:rPr>
        <w:t>Prevents generating strategies the organization can't execute. If leadership alignment scores 2/5, the platform warns that ambitious strategies may stall without executive buy-in. Consulting firms always start with a diagnostic — this brings that capability to BTA.</w:t>
      </w:r>
    </w:p>
    <w:p>
      <w:r>
        <w:rPr>
          <w:rFonts w:ascii="Calibri" w:hAnsi="Calibri"/>
          <w:b/>
          <w:sz w:val="20"/>
        </w:rPr>
        <w:t xml:space="preserve">Effort: </w:t>
      </w:r>
      <w:r>
        <w:rPr>
          <w:rFonts w:ascii="Calibri" w:hAnsi="Calibri"/>
          <w:sz w:val="20"/>
        </w:rPr>
        <w:t>2-3 weeks</w:t>
      </w:r>
    </w:p>
    <w:p/>
    <w:p>
      <w:pPr>
        <w:pStyle w:val="Heading3"/>
      </w:pPr>
      <w:r>
        <w:rPr>
          <w:rFonts w:ascii="Calibri" w:hAnsi="Calibri"/>
          <w:color w:val="1B3A5C"/>
        </w:rPr>
        <w:t>Enhancement 2: AI Confidence Scoring on All Outputs</w:t>
      </w:r>
    </w:p>
    <w:p>
      <w:r>
        <w:rPr>
          <w:rFonts w:ascii="Calibri" w:hAnsi="Calibri"/>
          <w:b/>
          <w:color w:val="2E75B6"/>
          <w:sz w:val="20"/>
        </w:rPr>
        <w:t xml:space="preserve">Inspired by: </w:t>
      </w:r>
      <w:r>
        <w:rPr>
          <w:rFonts w:ascii="Calibri" w:hAnsi="Calibri"/>
          <w:i/>
          <w:sz w:val="20"/>
        </w:rPr>
        <w:t>General consulting best practice (transparency builds trust)</w:t>
      </w:r>
    </w:p>
    <w:p>
      <w:r>
        <w:rPr>
          <w:rFonts w:ascii="Calibri" w:hAnsi="Calibri"/>
          <w:b/>
          <w:color w:val="1B3A5C"/>
          <w:sz w:val="20"/>
        </w:rPr>
        <w:t xml:space="preserve">What Will Be Implemented: </w:t>
      </w:r>
      <w:r>
        <w:rPr>
          <w:rFonts w:ascii="Calibri" w:hAnsi="Calibri"/>
          <w:sz w:val="20"/>
        </w:rPr>
        <w:t>Every AI-generated artifact (SWOT entries, strategies, OKRs, RICE scores, epics, features) gets a confidence score from 0-100%. The AI rates its own confidence based on data availability, upstream context quality, specificity, and RAG document matches.</w:t>
      </w:r>
    </w:p>
    <w:p>
      <w:r>
        <w:rPr>
          <w:rFonts w:ascii="Calibri" w:hAnsi="Calibri"/>
          <w:b/>
          <w:color w:val="1B3A5C"/>
          <w:sz w:val="20"/>
        </w:rPr>
        <w:t xml:space="preserve">How It Will Look: </w:t>
      </w:r>
      <w:r>
        <w:rPr>
          <w:rFonts w:ascii="Calibri" w:hAnsi="Calibri"/>
          <w:sz w:val="20"/>
        </w:rPr>
        <w:t>Color-coded badges on every AI-generated item — green (80-100%), yellow (50-79%), red (0-49%). Items below 60% are auto-flagged with a warning icon for mandatory review. A summary bar at the top of each step shows the average confidence for that step.</w:t>
      </w:r>
    </w:p>
    <w:p>
      <w:r>
        <w:rPr>
          <w:rFonts w:ascii="Calibri" w:hAnsi="Calibri"/>
          <w:b/>
          <w:color w:val="1B3A5C"/>
          <w:sz w:val="20"/>
        </w:rPr>
        <w:t xml:space="preserve">Key Benefit: </w:t>
      </w:r>
      <w:r>
        <w:rPr>
          <w:rFonts w:ascii="Calibri" w:hAnsi="Calibri"/>
          <w:sz w:val="20"/>
        </w:rPr>
        <w:t>Reviewers stop wasting time validating things the AI is already confident about (e.g., financial data at 95%) and focus attention where it matters (e.g., strategy recommendations at 55%). Builds trust through transparency.</w:t>
      </w:r>
    </w:p>
    <w:p>
      <w:r>
        <w:rPr>
          <w:rFonts w:ascii="Calibri" w:hAnsi="Calibri"/>
          <w:b/>
          <w:sz w:val="20"/>
        </w:rPr>
        <w:t xml:space="preserve">Effort: </w:t>
      </w:r>
      <w:r>
        <w:rPr>
          <w:rFonts w:ascii="Calibri" w:hAnsi="Calibri"/>
          <w:sz w:val="20"/>
        </w:rPr>
        <w:t>1-2 weeks</w:t>
      </w:r>
    </w:p>
    <w:p/>
    <w:p>
      <w:pPr>
        <w:pStyle w:val="Heading3"/>
      </w:pPr>
      <w:r>
        <w:rPr>
          <w:rFonts w:ascii="Calibri" w:hAnsi="Calibri"/>
          <w:color w:val="1B3A5C"/>
        </w:rPr>
        <w:t>Enhancement 3: Digital Maturity Model Scoring</w:t>
      </w:r>
    </w:p>
    <w:p>
      <w:r>
        <w:rPr>
          <w:rFonts w:ascii="Calibri" w:hAnsi="Calibri"/>
          <w:b/>
          <w:color w:val="2E75B6"/>
          <w:sz w:val="20"/>
        </w:rPr>
        <w:t xml:space="preserve">Inspired by: </w:t>
      </w:r>
      <w:r>
        <w:rPr>
          <w:rFonts w:ascii="Calibri" w:hAnsi="Calibri"/>
          <w:i/>
          <w:sz w:val="20"/>
        </w:rPr>
        <w:t>Deloitte (Digital Maturity Model — 5 levels across 7 dimensions)</w:t>
      </w:r>
    </w:p>
    <w:p>
      <w:r>
        <w:rPr>
          <w:rFonts w:ascii="Calibri" w:hAnsi="Calibri"/>
          <w:b/>
          <w:color w:val="1B3A5C"/>
          <w:sz w:val="20"/>
        </w:rPr>
        <w:t xml:space="preserve">What Will Be Implemented: </w:t>
      </w:r>
      <w:r>
        <w:rPr>
          <w:rFonts w:ascii="Calibri" w:hAnsi="Calibri"/>
          <w:sz w:val="20"/>
        </w:rPr>
        <w:t>Scores the organization's digital maturity on a 1-5 scale across 7 dimensions (strategy, customer, technology, operations, organization, culture, data &amp; analytics). Each dimension has clear level definitions (Level 1: "branch-only" → Level 5: "omni-channel, personalized").</w:t>
      </w:r>
    </w:p>
    <w:p>
      <w:r>
        <w:rPr>
          <w:rFonts w:ascii="Calibri" w:hAnsi="Calibri"/>
          <w:b/>
          <w:color w:val="1B3A5C"/>
          <w:sz w:val="20"/>
        </w:rPr>
        <w:t xml:space="preserve">How It Will Look: </w:t>
      </w:r>
      <w:r>
        <w:rPr>
          <w:rFonts w:ascii="Calibri" w:hAnsi="Calibri"/>
          <w:sz w:val="20"/>
        </w:rPr>
        <w:t>A maturity heatmap in Step 1 or Step 0 — a grid showing current level vs target level for each dimension. Color intensity shows the gap. Clicking a dimension reveals the level definitions and AI's reasoning. In Step 4, strategies reference specific gaps: "This strategy addresses the Level 2→4 gap in Data &amp; Analytics."</w:t>
      </w:r>
    </w:p>
    <w:p>
      <w:r>
        <w:rPr>
          <w:rFonts w:ascii="Calibri" w:hAnsi="Calibri"/>
          <w:b/>
          <w:color w:val="1B3A5C"/>
          <w:sz w:val="20"/>
        </w:rPr>
        <w:t xml:space="preserve">Key Benefit: </w:t>
      </w:r>
      <w:r>
        <w:rPr>
          <w:rFonts w:ascii="Calibri" w:hAnsi="Calibri"/>
          <w:sz w:val="20"/>
        </w:rPr>
        <w:t>Replaces vague "improve digital" strategies with precise, measurable targets. Leaders can see exactly where they stand and where each strategy will move them. This is Deloitte's bread-and-butter framework — now available instantly via AI.</w:t>
      </w:r>
    </w:p>
    <w:p>
      <w:r>
        <w:rPr>
          <w:rFonts w:ascii="Calibri" w:hAnsi="Calibri"/>
          <w:b/>
          <w:sz w:val="20"/>
        </w:rPr>
        <w:t xml:space="preserve">Effort: </w:t>
      </w:r>
      <w:r>
        <w:rPr>
          <w:rFonts w:ascii="Calibri" w:hAnsi="Calibri"/>
          <w:sz w:val="20"/>
        </w:rPr>
        <w:t>2 weeks</w:t>
      </w:r>
    </w:p>
    <w:p/>
    <w:p>
      <w:pPr>
        <w:pStyle w:val="Heading3"/>
      </w:pPr>
      <w:r>
        <w:rPr>
          <w:rFonts w:ascii="Calibri" w:hAnsi="Calibri"/>
          <w:color w:val="1B3A5C"/>
        </w:rPr>
        <w:t>Enhancement 4: Regulatory Impact Assessment</w:t>
      </w:r>
    </w:p>
    <w:p>
      <w:r>
        <w:rPr>
          <w:rFonts w:ascii="Calibri" w:hAnsi="Calibri"/>
          <w:b/>
          <w:color w:val="2E75B6"/>
          <w:sz w:val="20"/>
        </w:rPr>
        <w:t xml:space="preserve">Inspired by: </w:t>
      </w:r>
      <w:r>
        <w:rPr>
          <w:rFonts w:ascii="Calibri" w:hAnsi="Calibri"/>
          <w:i/>
          <w:sz w:val="20"/>
        </w:rPr>
        <w:t>Deloitte (RegTech Practice), banking-specific need</w:t>
      </w:r>
    </w:p>
    <w:p>
      <w:r>
        <w:rPr>
          <w:rFonts w:ascii="Calibri" w:hAnsi="Calibri"/>
          <w:b/>
          <w:color w:val="1B3A5C"/>
          <w:sz w:val="20"/>
        </w:rPr>
        <w:t xml:space="preserve">What Will Be Implemented: </w:t>
      </w:r>
      <w:r>
        <w:rPr>
          <w:rFonts w:ascii="Calibri" w:hAnsi="Calibri"/>
          <w:sz w:val="20"/>
        </w:rPr>
        <w:t>A new assessment between Steps 4 and 5 that evaluates every strategy against banking regulations — OCC Model Risk (SR 11-7), Fair Lending, BSA/AML, Basel III, CFPB, Cyber/FFIEC, and Third-Party Risk. Each strategy gets a regulatory impact rating per regulation.</w:t>
      </w:r>
    </w:p>
    <w:p>
      <w:r>
        <w:rPr>
          <w:rFonts w:ascii="Calibri" w:hAnsi="Calibri"/>
          <w:b/>
          <w:color w:val="1B3A5C"/>
          <w:sz w:val="20"/>
        </w:rPr>
        <w:t xml:space="preserve">How It Will Look: </w:t>
      </w:r>
      <w:r>
        <w:rPr>
          <w:rFonts w:ascii="Calibri" w:hAnsi="Calibri"/>
          <w:sz w:val="20"/>
        </w:rPr>
        <w:t>A new "Regulatory" sub-tab within Step 4. Shows an impact matrix — strategies on the Y-axis, regulations on the X-axis, cells colored red/yellow/green. Clicking any cell shows the specific requirement, risk, and recommended mitigation. High-risk items automatically increase effort scores in Step 5.</w:t>
      </w:r>
    </w:p>
    <w:p>
      <w:r>
        <w:rPr>
          <w:rFonts w:ascii="Calibri" w:hAnsi="Calibri"/>
          <w:b/>
          <w:color w:val="1B3A5C"/>
          <w:sz w:val="20"/>
        </w:rPr>
        <w:t xml:space="preserve">Key Benefit: </w:t>
      </w:r>
      <w:r>
        <w:rPr>
          <w:rFonts w:ascii="Calibri" w:hAnsi="Calibri"/>
          <w:sz w:val="20"/>
        </w:rPr>
        <w:t>Banking transformation can't ignore regulation. Without this, the platform might recommend "AI-powered automated lending" without flagging Fair Lending compliance needs. Prevents costly regulatory surprises and makes output credible for risk/compliance stakeholders.</w:t>
      </w:r>
    </w:p>
    <w:p>
      <w:r>
        <w:rPr>
          <w:rFonts w:ascii="Calibri" w:hAnsi="Calibri"/>
          <w:b/>
          <w:sz w:val="20"/>
        </w:rPr>
        <w:t xml:space="preserve">Effort: </w:t>
      </w:r>
      <w:r>
        <w:rPr>
          <w:rFonts w:ascii="Calibri" w:hAnsi="Calibri"/>
          <w:sz w:val="20"/>
        </w:rPr>
        <w:t>2-3 weeks</w:t>
      </w:r>
    </w:p>
    <w:p/>
    <w:p>
      <w:pPr>
        <w:pStyle w:val="Heading3"/>
      </w:pPr>
      <w:r>
        <w:rPr>
          <w:rFonts w:ascii="Calibri" w:hAnsi="Calibri"/>
          <w:color w:val="1B3A5C"/>
        </w:rPr>
        <w:t>Enhancement 5: Results Tracking Dashboard</w:t>
      </w:r>
    </w:p>
    <w:p>
      <w:r>
        <w:rPr>
          <w:rFonts w:ascii="Calibri" w:hAnsi="Calibri"/>
          <w:b/>
          <w:color w:val="2E75B6"/>
          <w:sz w:val="20"/>
        </w:rPr>
        <w:t xml:space="preserve">Inspired by: </w:t>
      </w:r>
      <w:r>
        <w:rPr>
          <w:rFonts w:ascii="Calibri" w:hAnsi="Calibri"/>
          <w:i/>
          <w:sz w:val="20"/>
        </w:rPr>
        <w:t>Bain (Results Delivery®)</w:t>
      </w:r>
    </w:p>
    <w:p>
      <w:r>
        <w:rPr>
          <w:rFonts w:ascii="Calibri" w:hAnsi="Calibri"/>
          <w:b/>
          <w:color w:val="1B3A5C"/>
          <w:sz w:val="20"/>
        </w:rPr>
        <w:t xml:space="preserve">What Will Be Implemented: </w:t>
      </w:r>
      <w:r>
        <w:rPr>
          <w:rFonts w:ascii="Calibri" w:hAnsi="Calibri"/>
          <w:sz w:val="20"/>
        </w:rPr>
        <w:t>Extends BTA from planning-only to plan-to-execution tracking. After plans are approved, users (or Jira sync) update actual progress: initiative status, epic completion %, feature delivery rate, OKR key result actuals.</w:t>
      </w:r>
    </w:p>
    <w:p>
      <w:r>
        <w:rPr>
          <w:rFonts w:ascii="Calibri" w:hAnsi="Calibri"/>
          <w:b/>
          <w:color w:val="1B3A5C"/>
          <w:sz w:val="20"/>
        </w:rPr>
        <w:t xml:space="preserve">How It Will Look: </w:t>
      </w:r>
      <w:r>
        <w:rPr>
          <w:rFonts w:ascii="Calibri" w:hAnsi="Calibri"/>
          <w:sz w:val="20"/>
        </w:rPr>
        <w:t>A new "Execution" dashboard tab with: OKR progress bars (target vs actual, color-coded on/off track), initiative Gantt chart showing planned vs actual timelines, feature burndown showing delivery velocity, and alerts for off-track OKRs.</w:t>
      </w:r>
    </w:p>
    <w:p>
      <w:r>
        <w:rPr>
          <w:rFonts w:ascii="Calibri" w:hAnsi="Calibri"/>
          <w:b/>
          <w:color w:val="1B3A5C"/>
          <w:sz w:val="20"/>
        </w:rPr>
        <w:t xml:space="preserve">Key Benefit: </w:t>
      </w:r>
      <w:r>
        <w:rPr>
          <w:rFonts w:ascii="Calibri" w:hAnsi="Calibri"/>
          <w:sz w:val="20"/>
        </w:rPr>
        <w:t>Closes the strategy-to-execution feedback loop. Today BTA generates plans but has no visibility into whether they're being executed. This is what Bain's Results Delivery practice does — track outcomes, not just plans.</w:t>
      </w:r>
    </w:p>
    <w:p>
      <w:r>
        <w:rPr>
          <w:rFonts w:ascii="Calibri" w:hAnsi="Calibri"/>
          <w:b/>
          <w:sz w:val="20"/>
        </w:rPr>
        <w:t xml:space="preserve">Effort: </w:t>
      </w:r>
      <w:r>
        <w:rPr>
          <w:rFonts w:ascii="Calibri" w:hAnsi="Calibri"/>
          <w:sz w:val="20"/>
        </w:rPr>
        <w:t>3-4 weeks</w:t>
      </w:r>
    </w:p>
    <w:p/>
    <w:p>
      <w:pPr>
        <w:pStyle w:val="Heading3"/>
      </w:pPr>
      <w:r>
        <w:rPr>
          <w:rFonts w:ascii="Calibri" w:hAnsi="Calibri"/>
          <w:color w:val="1B3A5C"/>
        </w:rPr>
        <w:t>Enhancement 6: Pilot / MVP Scoping for Top Initiatives</w:t>
      </w:r>
    </w:p>
    <w:p>
      <w:r>
        <w:rPr>
          <w:rFonts w:ascii="Calibri" w:hAnsi="Calibri"/>
          <w:b/>
          <w:color w:val="2E75B6"/>
          <w:sz w:val="20"/>
        </w:rPr>
        <w:t xml:space="preserve">Inspired by: </w:t>
      </w:r>
      <w:r>
        <w:rPr>
          <w:rFonts w:ascii="Calibri" w:hAnsi="Calibri"/>
          <w:i/>
          <w:sz w:val="20"/>
        </w:rPr>
        <w:t>BCG (BCG X venture building), Lean Startup methodology</w:t>
      </w:r>
    </w:p>
    <w:p>
      <w:r>
        <w:rPr>
          <w:rFonts w:ascii="Calibri" w:hAnsi="Calibri"/>
          <w:b/>
          <w:color w:val="1B3A5C"/>
          <w:sz w:val="20"/>
        </w:rPr>
        <w:t xml:space="preserve">What Will Be Implemented: </w:t>
      </w:r>
      <w:r>
        <w:rPr>
          <w:rFonts w:ascii="Calibri" w:hAnsi="Calibri"/>
          <w:sz w:val="20"/>
        </w:rPr>
        <w:t>For each high-priority initiative, auto-generates a pilot scope: minimum viable version, success criteria, pilot duration (weeks), team size, go/no-go decision criteria, and scale-up path.</w:t>
      </w:r>
    </w:p>
    <w:p>
      <w:r>
        <w:rPr>
          <w:rFonts w:ascii="Calibri" w:hAnsi="Calibri"/>
          <w:b/>
          <w:color w:val="1B3A5C"/>
          <w:sz w:val="20"/>
        </w:rPr>
        <w:t xml:space="preserve">How It Will Look: </w:t>
      </w:r>
      <w:r>
        <w:rPr>
          <w:rFonts w:ascii="Calibri" w:hAnsi="Calibri"/>
          <w:sz w:val="20"/>
        </w:rPr>
        <w:t>A "Pilot Scope" expandable section on each initiative card in Step 5. Shows a structured card with MVP description, success metrics, timeline, team requirements, and a decision framework. The first epic generated in Step 6 becomes the "pilot epic."</w:t>
      </w:r>
    </w:p>
    <w:p>
      <w:r>
        <w:rPr>
          <w:rFonts w:ascii="Calibri" w:hAnsi="Calibri"/>
          <w:b/>
          <w:color w:val="1B3A5C"/>
          <w:sz w:val="20"/>
        </w:rPr>
        <w:t xml:space="preserve">Key Benefit: </w:t>
      </w:r>
      <w:r>
        <w:rPr>
          <w:rFonts w:ascii="Calibri" w:hAnsi="Calibri"/>
          <w:sz w:val="20"/>
        </w:rPr>
        <w:t>Bridges the gap between "strategic initiative" and "let's actually start building." Instead of jumping from a big initiative to full implementation, teams get a scoped 6-8 week pilot with clear go/no-go gates.</w:t>
      </w:r>
    </w:p>
    <w:p>
      <w:r>
        <w:rPr>
          <w:rFonts w:ascii="Calibri" w:hAnsi="Calibri"/>
          <w:b/>
          <w:sz w:val="20"/>
        </w:rPr>
        <w:t xml:space="preserve">Effort: </w:t>
      </w:r>
      <w:r>
        <w:rPr>
          <w:rFonts w:ascii="Calibri" w:hAnsi="Calibri"/>
          <w:sz w:val="20"/>
        </w:rPr>
        <w:t>1-2 weeks</w:t>
      </w:r>
    </w:p>
    <w:p/>
    <w:p>
      <w:pPr>
        <w:pStyle w:val="Heading3"/>
      </w:pPr>
      <w:r>
        <w:rPr>
          <w:rFonts w:ascii="Calibri" w:hAnsi="Calibri"/>
          <w:color w:val="1B3A5C"/>
        </w:rPr>
        <w:t>Enhancement 7: Multi-Scenario Strategy Generation</w:t>
      </w:r>
    </w:p>
    <w:p>
      <w:r>
        <w:rPr>
          <w:rFonts w:ascii="Calibri" w:hAnsi="Calibri"/>
          <w:b/>
          <w:color w:val="2E75B6"/>
          <w:sz w:val="20"/>
        </w:rPr>
        <w:t xml:space="preserve">Inspired by: </w:t>
      </w:r>
      <w:r>
        <w:rPr>
          <w:rFonts w:ascii="Calibri" w:hAnsi="Calibri"/>
          <w:i/>
          <w:sz w:val="20"/>
        </w:rPr>
        <w:t>McKinsey (scenario planning), BCG (strategic options)</w:t>
      </w:r>
    </w:p>
    <w:p>
      <w:r>
        <w:rPr>
          <w:rFonts w:ascii="Calibri" w:hAnsi="Calibri"/>
          <w:b/>
          <w:color w:val="1B3A5C"/>
          <w:sz w:val="20"/>
        </w:rPr>
        <w:t xml:space="preserve">What Will Be Implemented: </w:t>
      </w:r>
      <w:r>
        <w:rPr>
          <w:rFonts w:ascii="Calibri" w:hAnsi="Calibri"/>
          <w:sz w:val="20"/>
        </w:rPr>
        <w:t>Instead of one strategy set, generates 3 scenarios: Conservative (low risk, incremental), Balanced (moderate risk, strategic), and Aggressive (high risk, transformative). Each scenario produces different strategies, OKRs, and initiatives.</w:t>
      </w:r>
    </w:p>
    <w:p>
      <w:r>
        <w:rPr>
          <w:rFonts w:ascii="Calibri" w:hAnsi="Calibri"/>
          <w:b/>
          <w:color w:val="1B3A5C"/>
          <w:sz w:val="20"/>
        </w:rPr>
        <w:t xml:space="preserve">How It Will Look: </w:t>
      </w:r>
      <w:r>
        <w:rPr>
          <w:rFonts w:ascii="Calibri" w:hAnsi="Calibri"/>
          <w:sz w:val="20"/>
        </w:rPr>
        <w:t>A scenario toggle at the top of Step 4 — three tabs labeled Conservative / Balanced / Aggressive. A side-by-side comparison mode lets leaders view all 3 scenarios in columns. At the review gate, leaders approve one scenario; others are archived but accessible.</w:t>
      </w:r>
    </w:p>
    <w:p>
      <w:r>
        <w:rPr>
          <w:rFonts w:ascii="Calibri" w:hAnsi="Calibri"/>
          <w:b/>
          <w:color w:val="1B3A5C"/>
          <w:sz w:val="20"/>
        </w:rPr>
        <w:t xml:space="preserve">Key Benefit: </w:t>
      </w:r>
      <w:r>
        <w:rPr>
          <w:rFonts w:ascii="Calibri" w:hAnsi="Calibri"/>
          <w:sz w:val="20"/>
        </w:rPr>
        <w:t>Mirrors how McKinsey and BCG present strategic options — never one answer, always choices with trade-offs. Gives leadership a genuine decision to make rather than rubber-stamping a single AI recommendation.</w:t>
      </w:r>
    </w:p>
    <w:p>
      <w:r>
        <w:rPr>
          <w:rFonts w:ascii="Calibri" w:hAnsi="Calibri"/>
          <w:b/>
          <w:sz w:val="20"/>
        </w:rPr>
        <w:t xml:space="preserve">Effort: </w:t>
      </w:r>
      <w:r>
        <w:rPr>
          <w:rFonts w:ascii="Calibri" w:hAnsi="Calibri"/>
          <w:sz w:val="20"/>
        </w:rPr>
        <w:t>2-3 weeks</w:t>
      </w:r>
    </w:p>
    <w:p/>
    <w:p>
      <w:r>
        <w:br w:type="page"/>
      </w:r>
    </w:p>
    <w:p>
      <w:pPr>
        <w:pStyle w:val="Heading1"/>
      </w:pPr>
      <w:r>
        <w:rPr>
          <w:rFonts w:ascii="Calibri" w:hAnsi="Calibri"/>
          <w:color w:val="1B3A5C"/>
        </w:rPr>
        <w:t>Phase 2: Medium Impact, Medium Complexity (Months 4-6)</w:t>
      </w:r>
    </w:p>
    <w:p>
      <w:r>
        <w:rPr>
          <w:rFonts w:ascii="Calibri" w:hAnsi="Calibri"/>
          <w:i/>
          <w:sz w:val="21"/>
        </w:rPr>
        <w:t>7 enhancements that build capabilities consulting firms consider core to their practice.</w:t>
      </w:r>
    </w:p>
    <w:p/>
    <w:p>
      <w:pPr>
        <w:pStyle w:val="Heading3"/>
      </w:pPr>
      <w:r>
        <w:rPr>
          <w:rFonts w:ascii="Calibri" w:hAnsi="Calibri"/>
          <w:color w:val="1B3A5C"/>
        </w:rPr>
        <w:t>Enhancement 8: Customer Journey / Episode Mapping</w:t>
      </w:r>
    </w:p>
    <w:p>
      <w:r>
        <w:rPr>
          <w:rFonts w:ascii="Calibri" w:hAnsi="Calibri"/>
          <w:b/>
          <w:color w:val="2E75B6"/>
          <w:sz w:val="20"/>
        </w:rPr>
        <w:t xml:space="preserve">Inspired by: </w:t>
      </w:r>
      <w:r>
        <w:rPr>
          <w:rFonts w:ascii="Calibri" w:hAnsi="Calibri"/>
          <w:i/>
          <w:sz w:val="20"/>
        </w:rPr>
        <w:t>Bain (Customer Episode Mapping), general CX practice</w:t>
      </w:r>
    </w:p>
    <w:p>
      <w:r>
        <w:rPr>
          <w:rFonts w:ascii="Calibri" w:hAnsi="Calibri"/>
          <w:b/>
          <w:color w:val="1B3A5C"/>
          <w:sz w:val="20"/>
        </w:rPr>
        <w:t xml:space="preserve">What Will Be Implemented: </w:t>
      </w:r>
      <w:r>
        <w:rPr>
          <w:rFonts w:ascii="Calibri" w:hAnsi="Calibri"/>
          <w:sz w:val="20"/>
        </w:rPr>
        <w:t>Maps end-to-end customer episodes — from awareness through purchase, onboarding, usage, support, and renewal. Identifies pain points, moments of truth, and emotion curves for each customer persona.</w:t>
      </w:r>
    </w:p>
    <w:p>
      <w:r>
        <w:rPr>
          <w:rFonts w:ascii="Calibri" w:hAnsi="Calibri"/>
          <w:b/>
          <w:color w:val="1B3A5C"/>
          <w:sz w:val="20"/>
        </w:rPr>
        <w:t xml:space="preserve">How It Will Look: </w:t>
      </w:r>
      <w:r>
        <w:rPr>
          <w:rFonts w:ascii="Calibri" w:hAnsi="Calibri"/>
          <w:sz w:val="20"/>
        </w:rPr>
        <w:t>A new "Customer Journeys" sub-tab in Step 2 with a visual journey flow — horizontal swimlane showing stages, touchpoints, channels, and an emotion curve (happy/neutral/frustrated) running underneath. Pain points are highlighted in red. Clicking reveals detail and links to improvement opportunities.</w:t>
      </w:r>
    </w:p>
    <w:p>
      <w:r>
        <w:rPr>
          <w:rFonts w:ascii="Calibri" w:hAnsi="Calibri"/>
          <w:b/>
          <w:color w:val="1B3A5C"/>
          <w:sz w:val="20"/>
        </w:rPr>
        <w:t xml:space="preserve">Key Benefit: </w:t>
      </w:r>
      <w:r>
        <w:rPr>
          <w:rFonts w:ascii="Calibri" w:hAnsi="Calibri"/>
          <w:sz w:val="20"/>
        </w:rPr>
        <w:t>Value streams are internal process views. Customer journeys show the outside-in perspective — what the customer actually experiences. Journey pain points automatically feed into Step 2 improvement levers and Step 3 SWOT weaknesses.</w:t>
      </w:r>
    </w:p>
    <w:p>
      <w:r>
        <w:rPr>
          <w:rFonts w:ascii="Calibri" w:hAnsi="Calibri"/>
          <w:b/>
          <w:sz w:val="20"/>
        </w:rPr>
        <w:t xml:space="preserve">Effort: </w:t>
      </w:r>
      <w:r>
        <w:rPr>
          <w:rFonts w:ascii="Calibri" w:hAnsi="Calibri"/>
          <w:sz w:val="20"/>
        </w:rPr>
        <w:t>3-4 weeks</w:t>
      </w:r>
    </w:p>
    <w:p/>
    <w:p>
      <w:pPr>
        <w:pStyle w:val="Heading3"/>
      </w:pPr>
      <w:r>
        <w:rPr>
          <w:rFonts w:ascii="Calibri" w:hAnsi="Calibri"/>
          <w:color w:val="1B3A5C"/>
        </w:rPr>
        <w:t>Enhancement 9: Target Operating Model (TOM) Design</w:t>
      </w:r>
    </w:p>
    <w:p>
      <w:r>
        <w:rPr>
          <w:rFonts w:ascii="Calibri" w:hAnsi="Calibri"/>
          <w:b/>
          <w:color w:val="2E75B6"/>
          <w:sz w:val="20"/>
        </w:rPr>
        <w:t xml:space="preserve">Inspired by: </w:t>
      </w:r>
      <w:r>
        <w:rPr>
          <w:rFonts w:ascii="Calibri" w:hAnsi="Calibri"/>
          <w:i/>
          <w:sz w:val="20"/>
        </w:rPr>
        <w:t>Deloitte (Target Operating Model framework)</w:t>
      </w:r>
    </w:p>
    <w:p>
      <w:r>
        <w:rPr>
          <w:rFonts w:ascii="Calibri" w:hAnsi="Calibri"/>
          <w:b/>
          <w:color w:val="1B3A5C"/>
          <w:sz w:val="20"/>
        </w:rPr>
        <w:t xml:space="preserve">What Will Be Implemented: </w:t>
      </w:r>
      <w:r>
        <w:rPr>
          <w:rFonts w:ascii="Calibri" w:hAnsi="Calibri"/>
          <w:sz w:val="20"/>
        </w:rPr>
        <w:t>Generates a comprehensive Target Operating Model covering 7 dimensions: organizational structure, governance model, process architecture, technology architecture, data architecture, talent model, and partner ecosystem. Shows current state, target state, and gap for each.</w:t>
      </w:r>
    </w:p>
    <w:p>
      <w:r>
        <w:rPr>
          <w:rFonts w:ascii="Calibri" w:hAnsi="Calibri"/>
          <w:b/>
          <w:color w:val="1B3A5C"/>
          <w:sz w:val="20"/>
        </w:rPr>
        <w:t xml:space="preserve">How It Will Look: </w:t>
      </w:r>
      <w:r>
        <w:rPr>
          <w:rFonts w:ascii="Calibri" w:hAnsi="Calibri"/>
          <w:sz w:val="20"/>
        </w:rPr>
        <w:t>A new "Operating Model" tab in Step 6 with a TOM canvas — a structured grid showing all 7 dimensions. Each dimension has current state description, target state vision, gap analysis, and transformation actions. Governance model includes a visual decision rights matrix (RACI-style).</w:t>
      </w:r>
    </w:p>
    <w:p>
      <w:r>
        <w:rPr>
          <w:rFonts w:ascii="Calibri" w:hAnsi="Calibri"/>
          <w:b/>
          <w:color w:val="1B3A5C"/>
          <w:sz w:val="20"/>
        </w:rPr>
        <w:t xml:space="preserve">Key Benefit: </w:t>
      </w:r>
      <w:r>
        <w:rPr>
          <w:rFonts w:ascii="Calibri" w:hAnsi="Calibri"/>
          <w:sz w:val="20"/>
        </w:rPr>
        <w:t>This is what Deloitte charges $3M+ for. Step 6 currently only generates teams — this expands to the full organizational design needed for transformation. Without a TOM, strategies may succeed technically but fail organizationally.</w:t>
      </w:r>
    </w:p>
    <w:p>
      <w:r>
        <w:rPr>
          <w:rFonts w:ascii="Calibri" w:hAnsi="Calibri"/>
          <w:b/>
          <w:sz w:val="20"/>
        </w:rPr>
        <w:t xml:space="preserve">Effort: </w:t>
      </w:r>
      <w:r>
        <w:rPr>
          <w:rFonts w:ascii="Calibri" w:hAnsi="Calibri"/>
          <w:sz w:val="20"/>
        </w:rPr>
        <w:t>4-5 weeks</w:t>
      </w:r>
    </w:p>
    <w:p/>
    <w:p>
      <w:pPr>
        <w:pStyle w:val="Heading3"/>
      </w:pPr>
      <w:r>
        <w:rPr>
          <w:rFonts w:ascii="Calibri" w:hAnsi="Calibri"/>
          <w:color w:val="1B3A5C"/>
        </w:rPr>
        <w:t>Enhancement 10: Change Management Plan Generation</w:t>
      </w:r>
    </w:p>
    <w:p>
      <w:r>
        <w:rPr>
          <w:rFonts w:ascii="Calibri" w:hAnsi="Calibri"/>
          <w:b/>
          <w:color w:val="2E75B6"/>
          <w:sz w:val="20"/>
        </w:rPr>
        <w:t xml:space="preserve">Inspired by: </w:t>
      </w:r>
      <w:r>
        <w:rPr>
          <w:rFonts w:ascii="Calibri" w:hAnsi="Calibri"/>
          <w:i/>
          <w:sz w:val="20"/>
        </w:rPr>
        <w:t>All firms (Prosci ADKAR, Kotter's 8 Steps, McKinsey Influence Model)</w:t>
      </w:r>
    </w:p>
    <w:p>
      <w:r>
        <w:rPr>
          <w:rFonts w:ascii="Calibri" w:hAnsi="Calibri"/>
          <w:b/>
          <w:color w:val="1B3A5C"/>
          <w:sz w:val="20"/>
        </w:rPr>
        <w:t xml:space="preserve">What Will Be Implemented: </w:t>
      </w:r>
      <w:r>
        <w:rPr>
          <w:rFonts w:ascii="Calibri" w:hAnsi="Calibri"/>
          <w:sz w:val="20"/>
        </w:rPr>
        <w:t>For each major initiative, generates a change management plan: stakeholder impact map, awareness/communication plan, desire building (WIIFM), training needs, enablement resources, reinforcement metrics, and resistance analysis.</w:t>
      </w:r>
    </w:p>
    <w:p>
      <w:r>
        <w:rPr>
          <w:rFonts w:ascii="Calibri" w:hAnsi="Calibri"/>
          <w:b/>
          <w:color w:val="1B3A5C"/>
          <w:sz w:val="20"/>
        </w:rPr>
        <w:t xml:space="preserve">How It Will Look: </w:t>
      </w:r>
      <w:r>
        <w:rPr>
          <w:rFonts w:ascii="Calibri" w:hAnsi="Calibri"/>
          <w:sz w:val="20"/>
        </w:rPr>
        <w:t>A "Change Management" expandable section on each initiative in Step 5. Shows a structured plan with stakeholder groups, impact levels, communication channels and timing, training programs, and a resistance risk matrix (likelihood × severity). Each stakeholder group gets a personalized "what's in it for me" message.</w:t>
      </w:r>
    </w:p>
    <w:p>
      <w:r>
        <w:rPr>
          <w:rFonts w:ascii="Calibri" w:hAnsi="Calibri"/>
          <w:b/>
          <w:color w:val="1B3A5C"/>
          <w:sz w:val="20"/>
        </w:rPr>
        <w:t xml:space="preserve">Key Benefit: </w:t>
      </w:r>
      <w:r>
        <w:rPr>
          <w:rFonts w:ascii="Calibri" w:hAnsi="Calibri"/>
          <w:sz w:val="20"/>
        </w:rPr>
        <w:t>Addresses the #1 gap — BTA generates what to build but not how to get adoption. 70% of transformations fail due to change resistance, not technical failure. This gives leaders a concrete adoption playbook for each initiative.</w:t>
      </w:r>
    </w:p>
    <w:p>
      <w:r>
        <w:rPr>
          <w:rFonts w:ascii="Calibri" w:hAnsi="Calibri"/>
          <w:b/>
          <w:sz w:val="20"/>
        </w:rPr>
        <w:t xml:space="preserve">Effort: </w:t>
      </w:r>
      <w:r>
        <w:rPr>
          <w:rFonts w:ascii="Calibri" w:hAnsi="Calibri"/>
          <w:sz w:val="20"/>
        </w:rPr>
        <w:t>3-4 weeks</w:t>
      </w:r>
    </w:p>
    <w:p/>
    <w:p>
      <w:pPr>
        <w:pStyle w:val="Heading3"/>
      </w:pPr>
      <w:r>
        <w:rPr>
          <w:rFonts w:ascii="Calibri" w:hAnsi="Calibri"/>
          <w:color w:val="1B3A5C"/>
        </w:rPr>
        <w:t>Enhancement 11: Enhanced RICE with Multi-Dimensional Feasibility</w:t>
      </w:r>
    </w:p>
    <w:p>
      <w:r>
        <w:rPr>
          <w:rFonts w:ascii="Calibri" w:hAnsi="Calibri"/>
          <w:b/>
          <w:color w:val="2E75B6"/>
          <w:sz w:val="20"/>
        </w:rPr>
        <w:t xml:space="preserve">Inspired by: </w:t>
      </w:r>
      <w:r>
        <w:rPr>
          <w:rFonts w:ascii="Calibri" w:hAnsi="Calibri"/>
          <w:i/>
          <w:sz w:val="20"/>
        </w:rPr>
        <w:t>BCG (Strategic Initiatives Portfolio — SIP)</w:t>
      </w:r>
    </w:p>
    <w:p>
      <w:r>
        <w:rPr>
          <w:rFonts w:ascii="Calibri" w:hAnsi="Calibri"/>
          <w:b/>
          <w:color w:val="1B3A5C"/>
          <w:sz w:val="20"/>
        </w:rPr>
        <w:t xml:space="preserve">What Will Be Implemented: </w:t>
      </w:r>
      <w:r>
        <w:rPr>
          <w:rFonts w:ascii="Calibri" w:hAnsi="Calibri"/>
          <w:sz w:val="20"/>
        </w:rPr>
        <w:t>Extends the single "Effort" number in RICE scoring into 5 feasibility dimensions: technical, organizational, regulatory, financial, and talent. Each scored 1-5 with rationale. Any dimension below 2 is flagged as a "blocker."</w:t>
      </w:r>
    </w:p>
    <w:p>
      <w:r>
        <w:rPr>
          <w:rFonts w:ascii="Calibri" w:hAnsi="Calibri"/>
          <w:b/>
          <w:color w:val="1B3A5C"/>
          <w:sz w:val="20"/>
        </w:rPr>
        <w:t xml:space="preserve">How It Will Look: </w:t>
      </w:r>
      <w:r>
        <w:rPr>
          <w:rFonts w:ascii="Calibri" w:hAnsi="Calibri"/>
          <w:sz w:val="20"/>
        </w:rPr>
        <w:t>A spider/radar chart on each initiative card showing the 5 feasibility dimensions. The composite score replaces the simple effort number. Blocker dimensions show a red warning. Hovering reveals the AI's rationale for each score.</w:t>
      </w:r>
    </w:p>
    <w:p>
      <w:r>
        <w:rPr>
          <w:rFonts w:ascii="Calibri" w:hAnsi="Calibri"/>
          <w:b/>
          <w:color w:val="1B3A5C"/>
          <w:sz w:val="20"/>
        </w:rPr>
        <w:t xml:space="preserve">Key Benefit: </w:t>
      </w:r>
      <w:r>
        <w:rPr>
          <w:rFonts w:ascii="Calibri" w:hAnsi="Calibri"/>
          <w:sz w:val="20"/>
        </w:rPr>
        <w:t>A simple effort estimate of "8" doesn't tell you why it's hard — is it technically complex? Organizationally difficult? Regulatory minefield? This granularity helps leaders understand and mitigate specific risks rather than just seeing a number.</w:t>
      </w:r>
    </w:p>
    <w:p>
      <w:r>
        <w:rPr>
          <w:rFonts w:ascii="Calibri" w:hAnsi="Calibri"/>
          <w:b/>
          <w:sz w:val="20"/>
        </w:rPr>
        <w:t xml:space="preserve">Effort: </w:t>
      </w:r>
      <w:r>
        <w:rPr>
          <w:rFonts w:ascii="Calibri" w:hAnsi="Calibri"/>
          <w:sz w:val="20"/>
        </w:rPr>
        <w:t>2 weeks</w:t>
      </w:r>
    </w:p>
    <w:p/>
    <w:p>
      <w:pPr>
        <w:pStyle w:val="Heading3"/>
      </w:pPr>
      <w:r>
        <w:rPr>
          <w:rFonts w:ascii="Calibri" w:hAnsi="Calibri"/>
          <w:color w:val="1B3A5C"/>
        </w:rPr>
        <w:t>Enhancement 12: Transformation Patterns Database</w:t>
      </w:r>
    </w:p>
    <w:p>
      <w:r>
        <w:rPr>
          <w:rFonts w:ascii="Calibri" w:hAnsi="Calibri"/>
          <w:b/>
          <w:color w:val="2E75B6"/>
          <w:sz w:val="20"/>
        </w:rPr>
        <w:t xml:space="preserve">Inspired by: </w:t>
      </w:r>
      <w:r>
        <w:rPr>
          <w:rFonts w:ascii="Calibri" w:hAnsi="Calibri"/>
          <w:i/>
          <w:sz w:val="20"/>
        </w:rPr>
        <w:t>BCG (2,000+ Value Patterns)</w:t>
      </w:r>
    </w:p>
    <w:p>
      <w:r>
        <w:rPr>
          <w:rFonts w:ascii="Calibri" w:hAnsi="Calibri"/>
          <w:b/>
          <w:color w:val="1B3A5C"/>
          <w:sz w:val="20"/>
        </w:rPr>
        <w:t xml:space="preserve">What Will Be Implemented: </w:t>
      </w:r>
      <w:r>
        <w:rPr>
          <w:rFonts w:ascii="Calibri" w:hAnsi="Calibri"/>
          <w:sz w:val="20"/>
        </w:rPr>
        <w:t>A structured database of 50-100 banking transformation patterns — reusable plays that have worked in similar situations. Examples: "Core Banking Modernization," "API-First Platform Play," "AI Underwriting Acceleration." Each pattern includes trigger conditions, typical outcomes, prerequisites, and risks.</w:t>
      </w:r>
    </w:p>
    <w:p>
      <w:r>
        <w:rPr>
          <w:rFonts w:ascii="Calibri" w:hAnsi="Calibri"/>
          <w:b/>
          <w:color w:val="1B3A5C"/>
          <w:sz w:val="20"/>
        </w:rPr>
        <w:t xml:space="preserve">How It Will Look: </w:t>
      </w:r>
      <w:r>
        <w:rPr>
          <w:rFonts w:ascii="Calibri" w:hAnsi="Calibri"/>
          <w:sz w:val="20"/>
        </w:rPr>
        <w:t>A "Suggested Patterns" panel in Step 4 that appears alongside strategy generation. Shows matched patterns with names, descriptions, and historical success rates. Users can accept a pattern (which pre-populates the strategy) or dismiss it. Pattern library is browsable from a settings/admin page.</w:t>
      </w:r>
    </w:p>
    <w:p>
      <w:r>
        <w:rPr>
          <w:rFonts w:ascii="Calibri" w:hAnsi="Calibri"/>
          <w:b/>
          <w:color w:val="1B3A5C"/>
          <w:sz w:val="20"/>
        </w:rPr>
        <w:t xml:space="preserve">Key Benefit: </w:t>
      </w:r>
      <w:r>
        <w:rPr>
          <w:rFonts w:ascii="Calibri" w:hAnsi="Calibri"/>
          <w:sz w:val="20"/>
        </w:rPr>
        <w:t>Instead of generating strategies from scratch every time, the AI matches proven patterns. "Core Banking Modernization" with "40% cost reduction" is more credible than a freshly generated strategy. This is BCG's institutional knowledge concept — knowledge that compounds.</w:t>
      </w:r>
    </w:p>
    <w:p>
      <w:r>
        <w:rPr>
          <w:rFonts w:ascii="Calibri" w:hAnsi="Calibri"/>
          <w:b/>
          <w:sz w:val="20"/>
        </w:rPr>
        <w:t xml:space="preserve">Effort: </w:t>
      </w:r>
      <w:r>
        <w:rPr>
          <w:rFonts w:ascii="Calibri" w:hAnsi="Calibri"/>
          <w:sz w:val="20"/>
        </w:rPr>
        <w:t>3-4 weeks</w:t>
      </w:r>
    </w:p>
    <w:p/>
    <w:p>
      <w:pPr>
        <w:pStyle w:val="Heading3"/>
      </w:pPr>
      <w:r>
        <w:rPr>
          <w:rFonts w:ascii="Calibri" w:hAnsi="Calibri"/>
          <w:color w:val="1B3A5C"/>
        </w:rPr>
        <w:t>Enhancement 13: Technology Architecture Recommendations</w:t>
      </w:r>
    </w:p>
    <w:p>
      <w:r>
        <w:rPr>
          <w:rFonts w:ascii="Calibri" w:hAnsi="Calibri"/>
          <w:b/>
          <w:color w:val="2E75B6"/>
          <w:sz w:val="20"/>
        </w:rPr>
        <w:t xml:space="preserve">Inspired by: </w:t>
      </w:r>
      <w:r>
        <w:rPr>
          <w:rFonts w:ascii="Calibri" w:hAnsi="Calibri"/>
          <w:i/>
          <w:sz w:val="20"/>
        </w:rPr>
        <w:t>Accenture (myNav), Deloitte (TOM technology layer)</w:t>
      </w:r>
    </w:p>
    <w:p>
      <w:r>
        <w:rPr>
          <w:rFonts w:ascii="Calibri" w:hAnsi="Calibri"/>
          <w:b/>
          <w:color w:val="1B3A5C"/>
          <w:sz w:val="20"/>
        </w:rPr>
        <w:t xml:space="preserve">What Will Be Implemented: </w:t>
      </w:r>
      <w:r>
        <w:rPr>
          <w:rFonts w:ascii="Calibri" w:hAnsi="Calibri"/>
          <w:sz w:val="20"/>
        </w:rPr>
        <w:t>For each digital strategy and initiative, generates technology recommendations: recommended platforms/vendors, integration patterns (API/event/batch), build vs buy vs partner decisions, cloud architecture, and technology risks.</w:t>
      </w:r>
    </w:p>
    <w:p>
      <w:r>
        <w:rPr>
          <w:rFonts w:ascii="Calibri" w:hAnsi="Calibri"/>
          <w:b/>
          <w:color w:val="1B3A5C"/>
          <w:sz w:val="20"/>
        </w:rPr>
        <w:t xml:space="preserve">How It Will Look: </w:t>
      </w:r>
      <w:r>
        <w:rPr>
          <w:rFonts w:ascii="Calibri" w:hAnsi="Calibri"/>
          <w:sz w:val="20"/>
        </w:rPr>
        <w:t>A "Technology" sub-section on each initiative in Step 5. Shows a structured card with platform options (e.g., "Temenos vs FIS vs Build" for core banking), integration diagram (text-based), cloud model recommendation, and risk flags.</w:t>
      </w:r>
    </w:p>
    <w:p>
      <w:r>
        <w:rPr>
          <w:rFonts w:ascii="Calibri" w:hAnsi="Calibri"/>
          <w:b/>
          <w:color w:val="1B3A5C"/>
          <w:sz w:val="20"/>
        </w:rPr>
        <w:t xml:space="preserve">Key Benefit: </w:t>
      </w:r>
      <w:r>
        <w:rPr>
          <w:rFonts w:ascii="Calibri" w:hAnsi="Calibri"/>
          <w:sz w:val="20"/>
        </w:rPr>
        <w:t>Fills the gap between "we need real-time payments" (strategy) and "here's the technology stack to build it" (implementation). Provides practical "how to build it" guidance alongside "what to build."</w:t>
      </w:r>
    </w:p>
    <w:p>
      <w:r>
        <w:rPr>
          <w:rFonts w:ascii="Calibri" w:hAnsi="Calibri"/>
          <w:b/>
          <w:sz w:val="20"/>
        </w:rPr>
        <w:t xml:space="preserve">Effort: </w:t>
      </w:r>
      <w:r>
        <w:rPr>
          <w:rFonts w:ascii="Calibri" w:hAnsi="Calibri"/>
          <w:sz w:val="20"/>
        </w:rPr>
        <w:t>2-3 weeks</w:t>
      </w:r>
    </w:p>
    <w:p/>
    <w:p>
      <w:pPr>
        <w:pStyle w:val="Heading3"/>
      </w:pPr>
      <w:r>
        <w:rPr>
          <w:rFonts w:ascii="Calibri" w:hAnsi="Calibri"/>
          <w:color w:val="1B3A5C"/>
        </w:rPr>
        <w:t>Enhancement 14: Financial Business Case per Initiative</w:t>
      </w:r>
    </w:p>
    <w:p>
      <w:r>
        <w:rPr>
          <w:rFonts w:ascii="Calibri" w:hAnsi="Calibri"/>
          <w:b/>
          <w:color w:val="2E75B6"/>
          <w:sz w:val="20"/>
        </w:rPr>
        <w:t xml:space="preserve">Inspired by: </w:t>
      </w:r>
      <w:r>
        <w:rPr>
          <w:rFonts w:ascii="Calibri" w:hAnsi="Calibri"/>
          <w:i/>
          <w:sz w:val="20"/>
        </w:rPr>
        <w:t>All firms (ROI analysis is table stakes)</w:t>
      </w:r>
    </w:p>
    <w:p>
      <w:r>
        <w:rPr>
          <w:rFonts w:ascii="Calibri" w:hAnsi="Calibri"/>
          <w:b/>
          <w:color w:val="1B3A5C"/>
          <w:sz w:val="20"/>
        </w:rPr>
        <w:t xml:space="preserve">What Will Be Implemented: </w:t>
      </w:r>
      <w:r>
        <w:rPr>
          <w:rFonts w:ascii="Calibri" w:hAnsi="Calibri"/>
          <w:sz w:val="20"/>
        </w:rPr>
        <w:t>For each initiative, generates a financial business case: estimated investment cost ($K), projected annual benefit ($K), NPV, payback period (months), and ROI (%). Uses Step 1 financial data as baseline and industry benchmarks for benefit estimation.</w:t>
      </w:r>
    </w:p>
    <w:p>
      <w:r>
        <w:rPr>
          <w:rFonts w:ascii="Calibri" w:hAnsi="Calibri"/>
          <w:b/>
          <w:color w:val="1B3A5C"/>
          <w:sz w:val="20"/>
        </w:rPr>
        <w:t xml:space="preserve">How It Will Look: </w:t>
      </w:r>
      <w:r>
        <w:rPr>
          <w:rFonts w:ascii="Calibri" w:hAnsi="Calibri"/>
          <w:sz w:val="20"/>
        </w:rPr>
        <w:t>A business case card on each initiative showing key financial metrics in a summary format — investment, annual benefit, NPV, payback, ROI. Cost and benefit assumptions are expandable for transparency. A portfolio-level view aggregates all initiative business cases.</w:t>
      </w:r>
    </w:p>
    <w:p>
      <w:r>
        <w:rPr>
          <w:rFonts w:ascii="Calibri" w:hAnsi="Calibri"/>
          <w:b/>
          <w:color w:val="1B3A5C"/>
          <w:sz w:val="20"/>
        </w:rPr>
        <w:t xml:space="preserve">Key Benefit: </w:t>
      </w:r>
      <w:r>
        <w:rPr>
          <w:rFonts w:ascii="Calibri" w:hAnsi="Calibri"/>
          <w:sz w:val="20"/>
        </w:rPr>
        <w:t>No consulting firm presents strategies without a financial case. This is table stakes for executive buy-in. Right now BTA says "do this" but doesn't answer "what will it cost and what will we get back?" Makes every initiative defensible in a board presentation.</w:t>
      </w:r>
    </w:p>
    <w:p>
      <w:r>
        <w:rPr>
          <w:rFonts w:ascii="Calibri" w:hAnsi="Calibri"/>
          <w:b/>
          <w:sz w:val="20"/>
        </w:rPr>
        <w:t xml:space="preserve">Effort: </w:t>
      </w:r>
      <w:r>
        <w:rPr>
          <w:rFonts w:ascii="Calibri" w:hAnsi="Calibri"/>
          <w:sz w:val="20"/>
        </w:rPr>
        <w:t>2 weeks</w:t>
      </w:r>
    </w:p>
    <w:p/>
    <w:p>
      <w:r>
        <w:br w:type="page"/>
      </w:r>
    </w:p>
    <w:p>
      <w:pPr>
        <w:pStyle w:val="Heading1"/>
      </w:pPr>
      <w:r>
        <w:rPr>
          <w:rFonts w:ascii="Calibri" w:hAnsi="Calibri"/>
          <w:color w:val="1B3A5C"/>
        </w:rPr>
        <w:t>Phase 3: High Impact, Higher Complexity (Months 7-9)</w:t>
      </w:r>
    </w:p>
    <w:p>
      <w:r>
        <w:rPr>
          <w:rFonts w:ascii="Calibri" w:hAnsi="Calibri"/>
          <w:i/>
          <w:sz w:val="21"/>
        </w:rPr>
        <w:t>6 enhancements that create major differentiation against consulting firms.</w:t>
      </w:r>
    </w:p>
    <w:p/>
    <w:p>
      <w:pPr>
        <w:pStyle w:val="Heading3"/>
      </w:pPr>
      <w:r>
        <w:rPr>
          <w:rFonts w:ascii="Calibri" w:hAnsi="Calibri"/>
          <w:color w:val="1B3A5C"/>
        </w:rPr>
        <w:t>Enhancement 15: Process Mining Integration</w:t>
      </w:r>
    </w:p>
    <w:p>
      <w:r>
        <w:rPr>
          <w:rFonts w:ascii="Calibri" w:hAnsi="Calibri"/>
          <w:b/>
          <w:color w:val="2E75B6"/>
          <w:sz w:val="20"/>
        </w:rPr>
        <w:t xml:space="preserve">Inspired by: </w:t>
      </w:r>
      <w:r>
        <w:rPr>
          <w:rFonts w:ascii="Calibri" w:hAnsi="Calibri"/>
          <w:i/>
          <w:sz w:val="20"/>
        </w:rPr>
        <w:t>Deloitte (COMET), Celonis/UiPath ecosystem</w:t>
      </w:r>
    </w:p>
    <w:p>
      <w:r>
        <w:rPr>
          <w:rFonts w:ascii="Calibri" w:hAnsi="Calibri"/>
          <w:b/>
          <w:color w:val="1B3A5C"/>
          <w:sz w:val="20"/>
        </w:rPr>
        <w:t xml:space="preserve">What Will Be Implemented: </w:t>
      </w:r>
      <w:r>
        <w:rPr>
          <w:rFonts w:ascii="Calibri" w:hAnsi="Calibri"/>
          <w:sz w:val="20"/>
        </w:rPr>
        <w:t>Connects to process mining platforms (Celonis, UiPath Process Mining, Microsoft Process Advisor) to import real process maps, actual timing data, genuine bottlenecks, and measured improvement opportunities. Replaces AI-guessed value streams with data-driven ones.</w:t>
      </w:r>
    </w:p>
    <w:p>
      <w:r>
        <w:rPr>
          <w:rFonts w:ascii="Calibri" w:hAnsi="Calibri"/>
          <w:b/>
          <w:color w:val="1B3A5C"/>
          <w:sz w:val="20"/>
        </w:rPr>
        <w:t xml:space="preserve">How It Will Look: </w:t>
      </w:r>
      <w:r>
        <w:rPr>
          <w:rFonts w:ascii="Calibri" w:hAnsi="Calibri"/>
          <w:sz w:val="20"/>
        </w:rPr>
        <w:t>An "Import from Process Mining" button in Step 2. After connecting, value stream steps show actual cycle times, wait times, and rework rates from real data. An "Actual vs AI-Estimated" indicator shows which data points come from process mining vs AI inference.</w:t>
      </w:r>
    </w:p>
    <w:p>
      <w:r>
        <w:rPr>
          <w:rFonts w:ascii="Calibri" w:hAnsi="Calibri"/>
          <w:b/>
          <w:color w:val="1B3A5C"/>
          <w:sz w:val="20"/>
        </w:rPr>
        <w:t xml:space="preserve">Key Benefit: </w:t>
      </w:r>
      <w:r>
        <w:rPr>
          <w:rFonts w:ascii="Calibri" w:hAnsi="Calibri"/>
          <w:sz w:val="20"/>
        </w:rPr>
        <w:t>The single biggest accuracy improvement in the entire roadmap — lifts Step 2 from 60-70% to 85-90%. Real process data cascades through the entire pipeline: better value streams → better SWOT → better strategies → better initiatives.</w:t>
      </w:r>
    </w:p>
    <w:p>
      <w:r>
        <w:rPr>
          <w:rFonts w:ascii="Calibri" w:hAnsi="Calibri"/>
          <w:b/>
          <w:sz w:val="20"/>
        </w:rPr>
        <w:t xml:space="preserve">Effort: </w:t>
      </w:r>
      <w:r>
        <w:rPr>
          <w:rFonts w:ascii="Calibri" w:hAnsi="Calibri"/>
          <w:sz w:val="20"/>
        </w:rPr>
        <w:t>4-5 weeks</w:t>
      </w:r>
    </w:p>
    <w:p/>
    <w:p>
      <w:pPr>
        <w:pStyle w:val="Heading3"/>
      </w:pPr>
      <w:r>
        <w:rPr>
          <w:rFonts w:ascii="Calibri" w:hAnsi="Calibri"/>
          <w:color w:val="1B3A5C"/>
        </w:rPr>
        <w:t>Enhancement 16: Advanced Risk Modeling</w:t>
      </w:r>
    </w:p>
    <w:p>
      <w:r>
        <w:rPr>
          <w:rFonts w:ascii="Calibri" w:hAnsi="Calibri"/>
          <w:b/>
          <w:color w:val="2E75B6"/>
          <w:sz w:val="20"/>
        </w:rPr>
        <w:t xml:space="preserve">Inspired by: </w:t>
      </w:r>
      <w:r>
        <w:rPr>
          <w:rFonts w:ascii="Calibri" w:hAnsi="Calibri"/>
          <w:i/>
          <w:sz w:val="20"/>
        </w:rPr>
        <w:t>McKinsey (risk quantification), BCG (scenario analysis)</w:t>
      </w:r>
    </w:p>
    <w:p>
      <w:r>
        <w:rPr>
          <w:rFonts w:ascii="Calibri" w:hAnsi="Calibri"/>
          <w:b/>
          <w:color w:val="1B3A5C"/>
          <w:sz w:val="20"/>
        </w:rPr>
        <w:t xml:space="preserve">What Will Be Implemented: </w:t>
      </w:r>
      <w:r>
        <w:rPr>
          <w:rFonts w:ascii="Calibri" w:hAnsi="Calibri"/>
          <w:sz w:val="20"/>
        </w:rPr>
        <w:t>Replaces simple "high/medium/low" risk with quantified risk modeling: probability of occurrence (0-1), financial impact if realized ($K), risk velocity (how fast it materializes), and risk correlation (which risks compound each other). Includes Monte Carlo simulation.</w:t>
      </w:r>
    </w:p>
    <w:p>
      <w:r>
        <w:rPr>
          <w:rFonts w:ascii="Calibri" w:hAnsi="Calibri"/>
          <w:b/>
          <w:color w:val="1B3A5C"/>
          <w:sz w:val="20"/>
        </w:rPr>
        <w:t xml:space="preserve">How It Will Look: </w:t>
      </w:r>
      <w:r>
        <w:rPr>
          <w:rFonts w:ascii="Calibri" w:hAnsi="Calibri"/>
          <w:sz w:val="20"/>
        </w:rPr>
        <w:t>A risk heat map (probability × impact scatter plot) for all strategies and initiatives. A Monte Carlo distribution chart showing the range of transformation outcomes. A risk correlation matrix showing which risks amplify each other. Color-coded risk cards with quantified exposure.</w:t>
      </w:r>
    </w:p>
    <w:p>
      <w:r>
        <w:rPr>
          <w:rFonts w:ascii="Calibri" w:hAnsi="Calibri"/>
          <w:b/>
          <w:color w:val="1B3A5C"/>
          <w:sz w:val="20"/>
        </w:rPr>
        <w:t xml:space="preserve">Key Benefit: </w:t>
      </w:r>
      <w:r>
        <w:rPr>
          <w:rFonts w:ascii="Calibri" w:hAnsi="Calibri"/>
          <w:sz w:val="20"/>
        </w:rPr>
        <w:t>"$2M exposure with 40% probability" is actionable; "high risk" is not. Monte Carlo simulation shows leaders the range of outcomes: "70% chance of $50M-80M benefits, 15% chance of less than $30M." This is how McKinsey and BCG present risk to boards.</w:t>
      </w:r>
    </w:p>
    <w:p>
      <w:r>
        <w:rPr>
          <w:rFonts w:ascii="Calibri" w:hAnsi="Calibri"/>
          <w:b/>
          <w:sz w:val="20"/>
        </w:rPr>
        <w:t xml:space="preserve">Effort: </w:t>
      </w:r>
      <w:r>
        <w:rPr>
          <w:rFonts w:ascii="Calibri" w:hAnsi="Calibri"/>
          <w:sz w:val="20"/>
        </w:rPr>
        <w:t>4-5 weeks</w:t>
      </w:r>
    </w:p>
    <w:p/>
    <w:p>
      <w:pPr>
        <w:pStyle w:val="Heading3"/>
      </w:pPr>
      <w:r>
        <w:rPr>
          <w:rFonts w:ascii="Calibri" w:hAnsi="Calibri"/>
          <w:color w:val="1B3A5C"/>
        </w:rPr>
        <w:t>Enhancement 17: Feedback Loop Learning</w:t>
      </w:r>
    </w:p>
    <w:p>
      <w:r>
        <w:rPr>
          <w:rFonts w:ascii="Calibri" w:hAnsi="Calibri"/>
          <w:b/>
          <w:color w:val="2E75B6"/>
          <w:sz w:val="20"/>
        </w:rPr>
        <w:t xml:space="preserve">Inspired by: </w:t>
      </w:r>
      <w:r>
        <w:rPr>
          <w:rFonts w:ascii="Calibri" w:hAnsi="Calibri"/>
          <w:i/>
          <w:sz w:val="20"/>
        </w:rPr>
        <w:t>Bain (Results Delivery® outcome tracking)</w:t>
      </w:r>
    </w:p>
    <w:p>
      <w:r>
        <w:rPr>
          <w:rFonts w:ascii="Calibri" w:hAnsi="Calibri"/>
          <w:b/>
          <w:color w:val="1B3A5C"/>
          <w:sz w:val="20"/>
        </w:rPr>
        <w:t xml:space="preserve">What Will Be Implemented: </w:t>
      </w:r>
      <w:r>
        <w:rPr>
          <w:rFonts w:ascii="Calibri" w:hAnsi="Calibri"/>
          <w:sz w:val="20"/>
        </w:rPr>
        <w:t>Captures every human modification to AI outputs — when a reviewer edits a SWOT entry, changes a RICE score, rejects a strategy, or rewrites a feature. Stores the "before" and "after" and uses the patterns to improve future generations.</w:t>
      </w:r>
    </w:p>
    <w:p>
      <w:r>
        <w:rPr>
          <w:rFonts w:ascii="Calibri" w:hAnsi="Calibri"/>
          <w:b/>
          <w:color w:val="1B3A5C"/>
          <w:sz w:val="20"/>
        </w:rPr>
        <w:t xml:space="preserve">How It Will Look: </w:t>
      </w:r>
      <w:r>
        <w:rPr>
          <w:rFonts w:ascii="Calibri" w:hAnsi="Calibri"/>
          <w:sz w:val="20"/>
        </w:rPr>
        <w:t>An "AI Accuracy" dashboard showing acceptance rates per step (e.g., "Step 3 SWOT: 78% accepted without changes, up from 65% three months ago"). A trending chart showing improvement over time. The AI references past corrections when generating new outputs.</w:t>
      </w:r>
    </w:p>
    <w:p>
      <w:r>
        <w:rPr>
          <w:rFonts w:ascii="Calibri" w:hAnsi="Calibri"/>
          <w:b/>
          <w:color w:val="1B3A5C"/>
          <w:sz w:val="20"/>
        </w:rPr>
        <w:t xml:space="preserve">Key Benefit: </w:t>
      </w:r>
      <w:r>
        <w:rPr>
          <w:rFonts w:ascii="Calibri" w:hAnsi="Calibri"/>
          <w:sz w:val="20"/>
        </w:rPr>
        <w:t>The platform gets smarter with every use. Unlike consulting firms where knowledge walks out the door when the engagement ends, BTA's learning persists. After 10 cycles, the AI knows organizational preferences and adjusts accordingly.</w:t>
      </w:r>
    </w:p>
    <w:p>
      <w:r>
        <w:rPr>
          <w:rFonts w:ascii="Calibri" w:hAnsi="Calibri"/>
          <w:b/>
          <w:sz w:val="20"/>
        </w:rPr>
        <w:t xml:space="preserve">Effort: </w:t>
      </w:r>
      <w:r>
        <w:rPr>
          <w:rFonts w:ascii="Calibri" w:hAnsi="Calibri"/>
          <w:sz w:val="20"/>
        </w:rPr>
        <w:t>3-4 weeks</w:t>
      </w:r>
    </w:p>
    <w:p/>
    <w:p>
      <w:pPr>
        <w:pStyle w:val="Heading3"/>
      </w:pPr>
      <w:r>
        <w:rPr>
          <w:rFonts w:ascii="Calibri" w:hAnsi="Calibri"/>
          <w:color w:val="1B3A5C"/>
        </w:rPr>
        <w:t>Enhancement 18: Multi-Model Validation</w:t>
      </w:r>
    </w:p>
    <w:p>
      <w:r>
        <w:rPr>
          <w:rFonts w:ascii="Calibri" w:hAnsi="Calibri"/>
          <w:b/>
          <w:color w:val="2E75B6"/>
          <w:sz w:val="20"/>
        </w:rPr>
        <w:t xml:space="preserve">Inspired by: </w:t>
      </w:r>
      <w:r>
        <w:rPr>
          <w:rFonts w:ascii="Calibri" w:hAnsi="Calibri"/>
          <w:i/>
          <w:sz w:val="20"/>
        </w:rPr>
        <w:t>Scientific peer review (multiple independent assessments)</w:t>
      </w:r>
    </w:p>
    <w:p>
      <w:r>
        <w:rPr>
          <w:rFonts w:ascii="Calibri" w:hAnsi="Calibri"/>
          <w:b/>
          <w:color w:val="1B3A5C"/>
          <w:sz w:val="20"/>
        </w:rPr>
        <w:t xml:space="preserve">What Will Be Implemented: </w:t>
      </w:r>
      <w:r>
        <w:rPr>
          <w:rFonts w:ascii="Calibri" w:hAnsi="Calibri"/>
          <w:sz w:val="20"/>
        </w:rPr>
        <w:t>For high-stakes outputs (Strategy, SWOT, RICE scores), runs the same prompt through 2-3 AI models (GPT-4o, Claude, Gemini). Compares outputs. Where models agree, confidence is high. Where they disagree, surfaces the disagreement for human review.</w:t>
      </w:r>
    </w:p>
    <w:p>
      <w:r>
        <w:rPr>
          <w:rFonts w:ascii="Calibri" w:hAnsi="Calibri"/>
          <w:b/>
          <w:color w:val="1B3A5C"/>
          <w:sz w:val="20"/>
        </w:rPr>
        <w:t xml:space="preserve">How It Will Look: </w:t>
      </w:r>
      <w:r>
        <w:rPr>
          <w:rFonts w:ascii="Calibri" w:hAnsi="Calibri"/>
          <w:sz w:val="20"/>
        </w:rPr>
        <w:t>A "Model Agreement" indicator on critical outputs — a small badge showing "3/3 models agree" (green) or "2/3 agree" (yellow) or "models disagree" (red). An expandable panel shows each model's output side by side for divergent items.</w:t>
      </w:r>
    </w:p>
    <w:p>
      <w:r>
        <w:rPr>
          <w:rFonts w:ascii="Calibri" w:hAnsi="Calibri"/>
          <w:b/>
          <w:color w:val="1B3A5C"/>
          <w:sz w:val="20"/>
        </w:rPr>
        <w:t xml:space="preserve">Key Benefit: </w:t>
      </w:r>
      <w:r>
        <w:rPr>
          <w:rFonts w:ascii="Calibri" w:hAnsi="Calibri"/>
          <w:sz w:val="20"/>
        </w:rPr>
        <w:t>Reduces single-model bias. If GPT-4o recommends aggressive transformation but Claude and Gemini recommend operational focus, that's a meaningful signal. Like scientific peer review — multiple independent assessments increase confidence.</w:t>
      </w:r>
    </w:p>
    <w:p>
      <w:r>
        <w:rPr>
          <w:rFonts w:ascii="Calibri" w:hAnsi="Calibri"/>
          <w:b/>
          <w:sz w:val="20"/>
        </w:rPr>
        <w:t xml:space="preserve">Effort: </w:t>
      </w:r>
      <w:r>
        <w:rPr>
          <w:rFonts w:ascii="Calibri" w:hAnsi="Calibri"/>
          <w:sz w:val="20"/>
        </w:rPr>
        <w:t>3-4 weeks</w:t>
      </w:r>
    </w:p>
    <w:p/>
    <w:p>
      <w:pPr>
        <w:pStyle w:val="Heading3"/>
      </w:pPr>
      <w:r>
        <w:rPr>
          <w:rFonts w:ascii="Calibri" w:hAnsi="Calibri"/>
          <w:color w:val="1B3A5C"/>
        </w:rPr>
        <w:t>Enhancement 19: Industry-Specific Agent Profiles</w:t>
      </w:r>
    </w:p>
    <w:p>
      <w:r>
        <w:rPr>
          <w:rFonts w:ascii="Calibri" w:hAnsi="Calibri"/>
          <w:b/>
          <w:color w:val="2E75B6"/>
          <w:sz w:val="20"/>
        </w:rPr>
        <w:t xml:space="preserve">Inspired by: </w:t>
      </w:r>
      <w:r>
        <w:rPr>
          <w:rFonts w:ascii="Calibri" w:hAnsi="Calibri"/>
          <w:i/>
          <w:sz w:val="20"/>
        </w:rPr>
        <w:t>All firms (banking, insurance, healthcare practices are distinct)</w:t>
      </w:r>
    </w:p>
    <w:p>
      <w:r>
        <w:rPr>
          <w:rFonts w:ascii="Calibri" w:hAnsi="Calibri"/>
          <w:b/>
          <w:color w:val="1B3A5C"/>
          <w:sz w:val="20"/>
        </w:rPr>
        <w:t xml:space="preserve">What Will Be Implemented: </w:t>
      </w:r>
      <w:r>
        <w:rPr>
          <w:rFonts w:ascii="Calibri" w:hAnsi="Calibri"/>
          <w:sz w:val="20"/>
        </w:rPr>
        <w:t>Creates industry-specific configurations (banking, insurance, healthcare, retail) that customize prompts, value stream templates, regulatory frameworks, benchmarks, strategy archetypes, and transformation patterns.</w:t>
      </w:r>
    </w:p>
    <w:p>
      <w:r>
        <w:rPr>
          <w:rFonts w:ascii="Calibri" w:hAnsi="Calibri"/>
          <w:b/>
          <w:color w:val="1B3A5C"/>
          <w:sz w:val="20"/>
        </w:rPr>
        <w:t xml:space="preserve">How It Will Look: </w:t>
      </w:r>
      <w:r>
        <w:rPr>
          <w:rFonts w:ascii="Calibri" w:hAnsi="Calibri"/>
          <w:sz w:val="20"/>
        </w:rPr>
        <w:t>An industry selector in Step 1 (auto-detected or manual). Once selected, everything changes: templates show industry-specific processes, SWOT patterns reference industry competitors, strategies use industry terminology, regulatory assessment uses industry regulations. The entire experience feels purpose-built.</w:t>
      </w:r>
    </w:p>
    <w:p>
      <w:r>
        <w:rPr>
          <w:rFonts w:ascii="Calibri" w:hAnsi="Calibri"/>
          <w:b/>
          <w:color w:val="1B3A5C"/>
          <w:sz w:val="20"/>
        </w:rPr>
        <w:t xml:space="preserve">Key Benefit: </w:t>
      </w:r>
      <w:r>
        <w:rPr>
          <w:rFonts w:ascii="Calibri" w:hAnsi="Calibri"/>
          <w:sz w:val="20"/>
        </w:rPr>
        <w:t>Generic prompts produce generic strategies. Industry-specific agents produce outputs that sound like they came from a banking strategy consultant, not a general AI. "Digital transformation in banking" and "in healthcare" are fundamentally different.</w:t>
      </w:r>
    </w:p>
    <w:p>
      <w:r>
        <w:rPr>
          <w:rFonts w:ascii="Calibri" w:hAnsi="Calibri"/>
          <w:b/>
          <w:sz w:val="20"/>
        </w:rPr>
        <w:t xml:space="preserve">Effort: </w:t>
      </w:r>
      <w:r>
        <w:rPr>
          <w:rFonts w:ascii="Calibri" w:hAnsi="Calibri"/>
          <w:sz w:val="20"/>
        </w:rPr>
        <w:t>4-6 weeks</w:t>
      </w:r>
    </w:p>
    <w:p/>
    <w:p>
      <w:pPr>
        <w:pStyle w:val="Heading3"/>
      </w:pPr>
      <w:r>
        <w:rPr>
          <w:rFonts w:ascii="Calibri" w:hAnsi="Calibri"/>
          <w:color w:val="1B3A5C"/>
        </w:rPr>
        <w:t>Enhancement 20: Stakeholder Collaboration and Workflow</w:t>
      </w:r>
    </w:p>
    <w:p>
      <w:r>
        <w:rPr>
          <w:rFonts w:ascii="Calibri" w:hAnsi="Calibri"/>
          <w:b/>
          <w:color w:val="2E75B6"/>
          <w:sz w:val="20"/>
        </w:rPr>
        <w:t xml:space="preserve">Inspired by: </w:t>
      </w:r>
      <w:r>
        <w:rPr>
          <w:rFonts w:ascii="Calibri" w:hAnsi="Calibri"/>
          <w:i/>
          <w:sz w:val="20"/>
        </w:rPr>
        <w:t>All firms (multi-stakeholder consulting engagements)</w:t>
      </w:r>
    </w:p>
    <w:p>
      <w:r>
        <w:rPr>
          <w:rFonts w:ascii="Calibri" w:hAnsi="Calibri"/>
          <w:b/>
          <w:color w:val="1B3A5C"/>
          <w:sz w:val="20"/>
        </w:rPr>
        <w:t xml:space="preserve">What Will Be Implemented: </w:t>
      </w:r>
      <w:r>
        <w:rPr>
          <w:rFonts w:ascii="Calibri" w:hAnsi="Calibri"/>
          <w:sz w:val="20"/>
        </w:rPr>
        <w:t>Adds multi-user support: role-based access (CEO sees strategy, VP Engineering sees epics), commenting on any artifact, approval workflows for review gates, and a notification system for pending reviews.</w:t>
      </w:r>
    </w:p>
    <w:p>
      <w:r>
        <w:rPr>
          <w:rFonts w:ascii="Calibri" w:hAnsi="Calibri"/>
          <w:b/>
          <w:color w:val="1B3A5C"/>
          <w:sz w:val="20"/>
        </w:rPr>
        <w:t xml:space="preserve">How It Will Look: </w:t>
      </w:r>
      <w:r>
        <w:rPr>
          <w:rFonts w:ascii="Calibri" w:hAnsi="Calibri"/>
          <w:sz w:val="20"/>
        </w:rPr>
        <w:t>A login/role selection screen. Role-based dashboards: executives see Steps 1-4, product leaders see Steps 4-6, engineering leads see Steps 6-7. Comment threads on every item (like Google Docs). Approval buttons on review gates. A notification bell showing pending reviews.</w:t>
      </w:r>
    </w:p>
    <w:p>
      <w:r>
        <w:rPr>
          <w:rFonts w:ascii="Calibri" w:hAnsi="Calibri"/>
          <w:b/>
          <w:color w:val="1B3A5C"/>
          <w:sz w:val="20"/>
        </w:rPr>
        <w:t xml:space="preserve">Key Benefit: </w:t>
      </w:r>
      <w:r>
        <w:rPr>
          <w:rFonts w:ascii="Calibri" w:hAnsi="Calibri"/>
          <w:sz w:val="20"/>
        </w:rPr>
        <w:t>Real transformation involves 10-20 stakeholders. A single-user tool can't capture the debate, alignment, and sign-off that makes plans stick. This turns BTA from a solo planning tool into a collaborative strategy platform.</w:t>
      </w:r>
    </w:p>
    <w:p>
      <w:r>
        <w:rPr>
          <w:rFonts w:ascii="Calibri" w:hAnsi="Calibri"/>
          <w:b/>
          <w:sz w:val="20"/>
        </w:rPr>
        <w:t xml:space="preserve">Effort: </w:t>
      </w:r>
      <w:r>
        <w:rPr>
          <w:rFonts w:ascii="Calibri" w:hAnsi="Calibri"/>
          <w:sz w:val="20"/>
        </w:rPr>
        <w:t>5-6 weeks</w:t>
      </w:r>
    </w:p>
    <w:p/>
    <w:p>
      <w:r>
        <w:br w:type="page"/>
      </w:r>
    </w:p>
    <w:p>
      <w:pPr>
        <w:pStyle w:val="Heading1"/>
      </w:pPr>
      <w:r>
        <w:rPr>
          <w:rFonts w:ascii="Calibri" w:hAnsi="Calibri"/>
          <w:color w:val="1B3A5C"/>
        </w:rPr>
        <w:t>Phase 4: Strategic Differentiators (Months 10-12)</w:t>
      </w:r>
    </w:p>
    <w:p>
      <w:r>
        <w:rPr>
          <w:rFonts w:ascii="Calibri" w:hAnsi="Calibri"/>
          <w:i/>
          <w:sz w:val="21"/>
        </w:rPr>
        <w:t>5 enhancements that create capabilities even consulting firms struggle to deliver — unique to the AI-accelerated model.</w:t>
      </w:r>
    </w:p>
    <w:p/>
    <w:p>
      <w:pPr>
        <w:pStyle w:val="Heading3"/>
      </w:pPr>
      <w:r>
        <w:rPr>
          <w:rFonts w:ascii="Calibri" w:hAnsi="Calibri"/>
          <w:color w:val="1B3A5C"/>
        </w:rPr>
        <w:t>Enhancement 21: Continuous Transformation Engine</w:t>
      </w:r>
    </w:p>
    <w:p>
      <w:r>
        <w:rPr>
          <w:rFonts w:ascii="Calibri" w:hAnsi="Calibri"/>
          <w:b/>
          <w:color w:val="2E75B6"/>
          <w:sz w:val="20"/>
        </w:rPr>
        <w:t xml:space="preserve">Inspired by: </w:t>
      </w:r>
      <w:r>
        <w:rPr>
          <w:rFonts w:ascii="Calibri" w:hAnsi="Calibri"/>
          <w:i/>
          <w:sz w:val="20"/>
        </w:rPr>
        <w:t>Accenture (Total Enterprise Reinvention — continuous, not periodic)</w:t>
      </w:r>
    </w:p>
    <w:p>
      <w:r>
        <w:rPr>
          <w:rFonts w:ascii="Calibri" w:hAnsi="Calibri"/>
          <w:b/>
          <w:color w:val="1B3A5C"/>
          <w:sz w:val="20"/>
        </w:rPr>
        <w:t xml:space="preserve">What Will Be Implemented: </w:t>
      </w:r>
      <w:r>
        <w:rPr>
          <w:rFonts w:ascii="Calibri" w:hAnsi="Calibri"/>
          <w:sz w:val="20"/>
        </w:rPr>
        <w:t>Automates periodic re-runs of the pipeline. Schedules quarterly refreshes that re-ingest financial data, re-benchmark competitors, re-evaluate SWOT, and identify strategy drift. Generates a "Delta Report" showing what changed.</w:t>
      </w:r>
    </w:p>
    <w:p>
      <w:r>
        <w:rPr>
          <w:rFonts w:ascii="Calibri" w:hAnsi="Calibri"/>
          <w:b/>
          <w:color w:val="1B3A5C"/>
          <w:sz w:val="20"/>
        </w:rPr>
        <w:t xml:space="preserve">How It Will Look: </w:t>
      </w:r>
      <w:r>
        <w:rPr>
          <w:rFonts w:ascii="Calibri" w:hAnsi="Calibri"/>
          <w:sz w:val="20"/>
        </w:rPr>
        <w:t>A "Transformation Timeline" view showing the evolution across quarterly runs. A Delta Report highlighting: "3 new competitor threats detected," "Revenue grew 8% — 2 OKRs now on track," "New fintech entrant suggests adding SWOT threat." Scheduling controls in settings.</w:t>
      </w:r>
    </w:p>
    <w:p>
      <w:r>
        <w:rPr>
          <w:rFonts w:ascii="Calibri" w:hAnsi="Calibri"/>
          <w:b/>
          <w:color w:val="1B3A5C"/>
          <w:sz w:val="20"/>
        </w:rPr>
        <w:t xml:space="preserve">Key Benefit: </w:t>
      </w:r>
      <w:r>
        <w:rPr>
          <w:rFonts w:ascii="Calibri" w:hAnsi="Calibri"/>
          <w:sz w:val="20"/>
        </w:rPr>
        <w:t>Something consulting firms cannot do economically. McKinsey charges $500K+ for a strategy refresh. BTA re-runs the entire pipeline for $0.05 every quarter. Transformation becomes continuous, not periodic. A unique AI advantage over human consultants.</w:t>
      </w:r>
    </w:p>
    <w:p>
      <w:r>
        <w:rPr>
          <w:rFonts w:ascii="Calibri" w:hAnsi="Calibri"/>
          <w:b/>
          <w:sz w:val="20"/>
        </w:rPr>
        <w:t xml:space="preserve">Effort: </w:t>
      </w:r>
      <w:r>
        <w:rPr>
          <w:rFonts w:ascii="Calibri" w:hAnsi="Calibri"/>
          <w:sz w:val="20"/>
        </w:rPr>
        <w:t>5-6 weeks</w:t>
      </w:r>
    </w:p>
    <w:p/>
    <w:p>
      <w:pPr>
        <w:pStyle w:val="Heading3"/>
      </w:pPr>
      <w:r>
        <w:rPr>
          <w:rFonts w:ascii="Calibri" w:hAnsi="Calibri"/>
          <w:color w:val="1B3A5C"/>
        </w:rPr>
        <w:t>Enhancement 22: Competitive Intelligence Monitoring</w:t>
      </w:r>
    </w:p>
    <w:p>
      <w:r>
        <w:rPr>
          <w:rFonts w:ascii="Calibri" w:hAnsi="Calibri"/>
          <w:b/>
          <w:color w:val="2E75B6"/>
          <w:sz w:val="20"/>
        </w:rPr>
        <w:t xml:space="preserve">Inspired by: </w:t>
      </w:r>
      <w:r>
        <w:rPr>
          <w:rFonts w:ascii="Calibri" w:hAnsi="Calibri"/>
          <w:i/>
          <w:sz w:val="20"/>
        </w:rPr>
        <w:t>McKinsey (competitive strategy practice)</w:t>
      </w:r>
    </w:p>
    <w:p>
      <w:r>
        <w:rPr>
          <w:rFonts w:ascii="Calibri" w:hAnsi="Calibri"/>
          <w:b/>
          <w:color w:val="1B3A5C"/>
          <w:sz w:val="20"/>
        </w:rPr>
        <w:t xml:space="preserve">What Will Be Implemented: </w:t>
      </w:r>
      <w:r>
        <w:rPr>
          <w:rFonts w:ascii="Calibri" w:hAnsi="Calibri"/>
          <w:sz w:val="20"/>
        </w:rPr>
        <w:t>Continuously monitors competitors' financial performance, news, regulatory actions, and strategic moves using Finnhub news API, Alpha Vantage earnings, and SEC EDGAR filings. Alerts when significant changes are detected. Auto-suggests SWOT updates.</w:t>
      </w:r>
    </w:p>
    <w:p>
      <w:r>
        <w:rPr>
          <w:rFonts w:ascii="Calibri" w:hAnsi="Calibri"/>
          <w:b/>
          <w:color w:val="1B3A5C"/>
          <w:sz w:val="20"/>
        </w:rPr>
        <w:t xml:space="preserve">How It Will Look: </w:t>
      </w:r>
      <w:r>
        <w:rPr>
          <w:rFonts w:ascii="Calibri" w:hAnsi="Calibri"/>
          <w:sz w:val="20"/>
        </w:rPr>
        <w:t>A competitive intelligence feed in Step 1 — a timeline of competitor events (earnings releases, product launches, regulatory actions, leadership changes). Severity-coded alerts. An "Auto-Update SWOT" button showing suggested new threats/opportunities.</w:t>
      </w:r>
    </w:p>
    <w:p>
      <w:r>
        <w:rPr>
          <w:rFonts w:ascii="Calibri" w:hAnsi="Calibri"/>
          <w:b/>
          <w:color w:val="1B3A5C"/>
          <w:sz w:val="20"/>
        </w:rPr>
        <w:t xml:space="preserve">Key Benefit: </w:t>
      </w:r>
      <w:r>
        <w:rPr>
          <w:rFonts w:ascii="Calibri" w:hAnsi="Calibri"/>
          <w:sz w:val="20"/>
        </w:rPr>
        <w:t>Strategy doesn't exist in a vacuum. If a competitor launches an AI lending platform, that's a new threat. This keeps the transformation strategy responsive to market changes in real-time — something no consulting firm can offer at this speed.</w:t>
      </w:r>
    </w:p>
    <w:p>
      <w:r>
        <w:rPr>
          <w:rFonts w:ascii="Calibri" w:hAnsi="Calibri"/>
          <w:b/>
          <w:sz w:val="20"/>
        </w:rPr>
        <w:t xml:space="preserve">Effort: </w:t>
      </w:r>
      <w:r>
        <w:rPr>
          <w:rFonts w:ascii="Calibri" w:hAnsi="Calibri"/>
          <w:sz w:val="20"/>
        </w:rPr>
        <w:t>3-4 weeks</w:t>
      </w:r>
    </w:p>
    <w:p/>
    <w:p>
      <w:pPr>
        <w:pStyle w:val="Heading3"/>
      </w:pPr>
      <w:r>
        <w:rPr>
          <w:rFonts w:ascii="Calibri" w:hAnsi="Calibri"/>
          <w:color w:val="1B3A5C"/>
        </w:rPr>
        <w:t>Enhancement 23: Benchmarking Database</w:t>
      </w:r>
    </w:p>
    <w:p>
      <w:r>
        <w:rPr>
          <w:rFonts w:ascii="Calibri" w:hAnsi="Calibri"/>
          <w:b/>
          <w:color w:val="2E75B6"/>
          <w:sz w:val="20"/>
        </w:rPr>
        <w:t xml:space="preserve">Inspired by: </w:t>
      </w:r>
      <w:r>
        <w:rPr>
          <w:rFonts w:ascii="Calibri" w:hAnsi="Calibri"/>
          <w:i/>
          <w:sz w:val="20"/>
        </w:rPr>
        <w:t>McKinsey (OHI benchmarks), BCG (Value Patterns benchmarks)</w:t>
      </w:r>
    </w:p>
    <w:p>
      <w:r>
        <w:rPr>
          <w:rFonts w:ascii="Calibri" w:hAnsi="Calibri"/>
          <w:b/>
          <w:color w:val="1B3A5C"/>
          <w:sz w:val="20"/>
        </w:rPr>
        <w:t xml:space="preserve">What Will Be Implemented: </w:t>
      </w:r>
      <w:r>
        <w:rPr>
          <w:rFonts w:ascii="Calibri" w:hAnsi="Calibri"/>
          <w:sz w:val="20"/>
        </w:rPr>
        <w:t>Builds a proprietary benchmarking database from anonymized, aggregated platform usage (opt-in only). Accumulates: typical RICE scores by industry, common value stream patterns, average OKR target ranges, and transformation outcome data.</w:t>
      </w:r>
    </w:p>
    <w:p>
      <w:r>
        <w:rPr>
          <w:rFonts w:ascii="Calibri" w:hAnsi="Calibri"/>
          <w:b/>
          <w:color w:val="1B3A5C"/>
          <w:sz w:val="20"/>
        </w:rPr>
        <w:t xml:space="preserve">How It Will Look: </w:t>
      </w:r>
      <w:r>
        <w:rPr>
          <w:rFonts w:ascii="Calibri" w:hAnsi="Calibri"/>
          <w:sz w:val="20"/>
        </w:rPr>
        <w:t>Industry Benchmark comparisons appear alongside key metrics throughout the platform. "Your efficiency ratio target of 55% is in the 75th percentile for banks your size." "Your AI adoption strategy is more aggressive than 80% of regional banks." Benchmarks appear as context, not prescription.</w:t>
      </w:r>
    </w:p>
    <w:p>
      <w:r>
        <w:rPr>
          <w:rFonts w:ascii="Calibri" w:hAnsi="Calibri"/>
          <w:b/>
          <w:color w:val="1B3A5C"/>
          <w:sz w:val="20"/>
        </w:rPr>
        <w:t xml:space="preserve">Key Benefit: </w:t>
      </w:r>
      <w:r>
        <w:rPr>
          <w:rFonts w:ascii="Calibri" w:hAnsi="Calibri"/>
          <w:sz w:val="20"/>
        </w:rPr>
        <w:t>McKinsey's OHI has power because it benchmarks against 1,800+ organizations. As BTA accumulates data, it builds the same kind of institutional benchmark — automatically, at zero marginal cost. A compounding network effect that gets more valuable with every customer.</w:t>
      </w:r>
    </w:p>
    <w:p>
      <w:r>
        <w:rPr>
          <w:rFonts w:ascii="Calibri" w:hAnsi="Calibri"/>
          <w:b/>
          <w:sz w:val="20"/>
        </w:rPr>
        <w:t xml:space="preserve">Effort: </w:t>
      </w:r>
      <w:r>
        <w:rPr>
          <w:rFonts w:ascii="Calibri" w:hAnsi="Calibri"/>
          <w:sz w:val="20"/>
        </w:rPr>
        <w:t>4-5 weeks</w:t>
      </w:r>
    </w:p>
    <w:p/>
    <w:p>
      <w:pPr>
        <w:pStyle w:val="Heading3"/>
      </w:pPr>
      <w:r>
        <w:rPr>
          <w:rFonts w:ascii="Calibri" w:hAnsi="Calibri"/>
          <w:color w:val="1B3A5C"/>
        </w:rPr>
        <w:t>Enhancement 24: Executive Briefing Auto-Generation</w:t>
      </w:r>
    </w:p>
    <w:p>
      <w:r>
        <w:rPr>
          <w:rFonts w:ascii="Calibri" w:hAnsi="Calibri"/>
          <w:b/>
          <w:color w:val="2E75B6"/>
          <w:sz w:val="20"/>
        </w:rPr>
        <w:t xml:space="preserve">Inspired by: </w:t>
      </w:r>
      <w:r>
        <w:rPr>
          <w:rFonts w:ascii="Calibri" w:hAnsi="Calibri"/>
          <w:i/>
          <w:sz w:val="20"/>
        </w:rPr>
        <w:t>McKinsey (partner-quality executive presentations)</w:t>
      </w:r>
    </w:p>
    <w:p>
      <w:r>
        <w:rPr>
          <w:rFonts w:ascii="Calibri" w:hAnsi="Calibri"/>
          <w:b/>
          <w:color w:val="1B3A5C"/>
          <w:sz w:val="20"/>
        </w:rPr>
        <w:t xml:space="preserve">What Will Be Implemented: </w:t>
      </w:r>
      <w:r>
        <w:rPr>
          <w:rFonts w:ascii="Calibri" w:hAnsi="Calibri"/>
          <w:sz w:val="20"/>
        </w:rPr>
        <w:t>Auto-generates a board-ready executive briefing from the complete pipeline output: 1-page executive summary, key strategic choices, financial impact projections, risk summary, and recommended next steps. Exports as PowerPoint or PDF.</w:t>
      </w:r>
    </w:p>
    <w:p>
      <w:r>
        <w:rPr>
          <w:rFonts w:ascii="Calibri" w:hAnsi="Calibri"/>
          <w:b/>
          <w:color w:val="1B3A5C"/>
          <w:sz w:val="20"/>
        </w:rPr>
        <w:t xml:space="preserve">How It Will Look: </w:t>
      </w:r>
      <w:r>
        <w:rPr>
          <w:rFonts w:ascii="Calibri" w:hAnsi="Calibri"/>
          <w:sz w:val="20"/>
        </w:rPr>
        <w:t>A "Generate Briefing" button on the main dashboard. Produces a polished 5-slide PowerPoint deck: (1) Executive Summary, (2) Strategic Direction &amp; OKRs, (3) Top Initiatives with Financial Cases, (4) Risk Summary &amp; Mitigations, (5) Next Steps &amp; Timeline. Branded with organization's colors/logo.</w:t>
      </w:r>
    </w:p>
    <w:p>
      <w:r>
        <w:rPr>
          <w:rFonts w:ascii="Calibri" w:hAnsi="Calibri"/>
          <w:b/>
          <w:color w:val="1B3A5C"/>
          <w:sz w:val="20"/>
        </w:rPr>
        <w:t xml:space="preserve">Key Benefit: </w:t>
      </w:r>
      <w:r>
        <w:rPr>
          <w:rFonts w:ascii="Calibri" w:hAnsi="Calibri"/>
          <w:sz w:val="20"/>
        </w:rPr>
        <w:t>The final consulting deliverable is always the board presentation. This automates the last mile — from pipeline output to boardroom-ready deck in one click. Saves 20-40 hours of manual presentation building per cycle.</w:t>
      </w:r>
    </w:p>
    <w:p>
      <w:r>
        <w:rPr>
          <w:rFonts w:ascii="Calibri" w:hAnsi="Calibri"/>
          <w:b/>
          <w:sz w:val="20"/>
        </w:rPr>
        <w:t xml:space="preserve">Effort: </w:t>
      </w:r>
      <w:r>
        <w:rPr>
          <w:rFonts w:ascii="Calibri" w:hAnsi="Calibri"/>
          <w:sz w:val="20"/>
        </w:rPr>
        <w:t>2-3 weeks</w:t>
      </w:r>
    </w:p>
    <w:p/>
    <w:p>
      <w:pPr>
        <w:pStyle w:val="Heading3"/>
      </w:pPr>
      <w:r>
        <w:rPr>
          <w:rFonts w:ascii="Calibri" w:hAnsi="Calibri"/>
          <w:color w:val="1B3A5C"/>
        </w:rPr>
        <w:t>Enhancement 25: Transformation ROI Calculator</w:t>
      </w:r>
    </w:p>
    <w:p>
      <w:r>
        <w:rPr>
          <w:rFonts w:ascii="Calibri" w:hAnsi="Calibri"/>
          <w:b/>
          <w:color w:val="2E75B6"/>
          <w:sz w:val="20"/>
        </w:rPr>
        <w:t xml:space="preserve">Inspired by: </w:t>
      </w:r>
      <w:r>
        <w:rPr>
          <w:rFonts w:ascii="Calibri" w:hAnsi="Calibri"/>
          <w:i/>
          <w:sz w:val="20"/>
        </w:rPr>
        <w:t>All firms (ROI quantification is the final consulting deliverable)</w:t>
      </w:r>
    </w:p>
    <w:p>
      <w:r>
        <w:rPr>
          <w:rFonts w:ascii="Calibri" w:hAnsi="Calibri"/>
          <w:b/>
          <w:color w:val="1B3A5C"/>
          <w:sz w:val="20"/>
        </w:rPr>
        <w:t xml:space="preserve">What Will Be Implemented: </w:t>
      </w:r>
      <w:r>
        <w:rPr>
          <w:rFonts w:ascii="Calibri" w:hAnsi="Calibri"/>
          <w:sz w:val="20"/>
        </w:rPr>
        <w:t>Aggregates all initiative business cases into a portfolio-level view: total investment required, total projected benefits by year (3-5 year horizon), portfolio NPV, aggregate payback period, and sensitivity analysis. Compares "do nothing" baseline with transformation scenario.</w:t>
      </w:r>
    </w:p>
    <w:p>
      <w:r>
        <w:rPr>
          <w:rFonts w:ascii="Calibri" w:hAnsi="Calibri"/>
          <w:b/>
          <w:color w:val="1B3A5C"/>
          <w:sz w:val="20"/>
        </w:rPr>
        <w:t xml:space="preserve">How It Will Look: </w:t>
      </w:r>
      <w:r>
        <w:rPr>
          <w:rFonts w:ascii="Calibri" w:hAnsi="Calibri"/>
          <w:sz w:val="20"/>
        </w:rPr>
        <w:t>An ROI dashboard with: investment waterfall chart (cost build-up by initiative), benefits timeline (stacked area chart by year), sensitivity tornado chart (which assumptions matter most), "Do Nothing" vs "Transform" comparison, and best/expected/worst case projections.</w:t>
      </w:r>
    </w:p>
    <w:p>
      <w:r>
        <w:rPr>
          <w:rFonts w:ascii="Calibri" w:hAnsi="Calibri"/>
          <w:b/>
          <w:color w:val="1B3A5C"/>
          <w:sz w:val="20"/>
        </w:rPr>
        <w:t xml:space="preserve">Key Benefit: </w:t>
      </w:r>
      <w:r>
        <w:rPr>
          <w:rFonts w:ascii="Calibri" w:hAnsi="Calibri"/>
          <w:sz w:val="20"/>
        </w:rPr>
        <w:t>The ultimate decision-making tool. Every board asks "how much will this cost and what will we get?" This provides a portfolio-level answer with sensitivity analysis — not just "$50M" but "$50M investment returning $150-250M over 3 years, with 80% probability of breakeven in 18 months."</w:t>
      </w:r>
    </w:p>
    <w:p>
      <w:r>
        <w:rPr>
          <w:rFonts w:ascii="Calibri" w:hAnsi="Calibri"/>
          <w:b/>
          <w:sz w:val="20"/>
        </w:rPr>
        <w:t xml:space="preserve">Effort: </w:t>
      </w:r>
      <w:r>
        <w:rPr>
          <w:rFonts w:ascii="Calibri" w:hAnsi="Calibri"/>
          <w:sz w:val="20"/>
        </w:rPr>
        <w:t>2-3 weeks</w:t>
      </w:r>
    </w:p>
    <w:p/>
    <w:p>
      <w:r>
        <w:br w:type="page"/>
      </w:r>
    </w:p>
    <w:p>
      <w:pPr>
        <w:pStyle w:val="Heading1"/>
      </w:pPr>
      <w:r>
        <w:rPr>
          <w:rFonts w:ascii="Calibri" w:hAnsi="Calibri"/>
          <w:color w:val="1B3A5C"/>
        </w:rPr>
        <w:t>Cumulative Impact Summary</w:t>
      </w:r>
    </w:p>
    <w:p>
      <w:r>
        <w:rPr>
          <w:rFonts w:ascii="Calibri" w:hAnsi="Calibri"/>
          <w:sz w:val="21"/>
        </w:rPr>
        <w:t>Each phase builds on the previous one, progressively closing the gap with top consulting firms while maintaining BTA's unique speed and cost advantages.</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Phase</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Timeline</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Accuracy</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Key New Capabilities</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Phase 1</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Months 1-3</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65-75% → 70-78%</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Readiness, confidence scores, maturity, regulation, results tracking, pilots, scenarios</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Phase 2</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Months 4-6</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70-78% → 75-83%</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Customer journeys, operating model, change management, patterns, tech architecture, business cases</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Phase 3</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Months 7-9</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75-83% → 79-87%</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Process mining, risk modeling, learning loops, multi-model, industry agents, collaboration</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Phase 4</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Months 10-12</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79-87% → 81-89%</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Continuous transformation, competitive intel, benchmarks, executive briefings, ROI calculator</w:t>
            </w:r>
          </w:p>
        </w:tc>
      </w:tr>
    </w:tbl>
    <w:p/>
    <w:p>
      <w:pPr>
        <w:pStyle w:val="Heading2"/>
      </w:pPr>
      <w:r>
        <w:rPr>
          <w:rFonts w:ascii="Calibri" w:hAnsi="Calibri"/>
          <w:color w:val="1B3A5C"/>
        </w:rPr>
        <w:t>Competitive Positioning After Full Roadmap</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Dimension</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Current BTA</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After Full Roadmap</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Top Consulting Firm</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Strategy Quality</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Good (first draft)</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Very Good</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Excellent</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Org Assessment</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Not addressed</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Good</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Excellent (McKinsey OHI)</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Regulatory Depth</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Basic</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Good</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Excellent (Deloitte)</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Change Management</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Not addressed</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Good</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Very Good</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Operating Model</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Partial (teams)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Good (full TOM)</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Very Good (Deloitte)</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Risk Modeling</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Basic (H/M/L)</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Very Good (Monte Carlo)</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Very Good</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Traceability</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Excellent (100%)</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Excellent (100%)</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Weak-Moderate</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Speed</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Excellent (5 min)</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Excellent (5 min)</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Poor (weeks-months)</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Cost</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Excellent ($0.05)</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Excellent ($0.05)</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Poor ($2M-10M)</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Iteration Cost</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Excellent ($0.05)</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Excellent + continuous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Poor ($500K+)</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Execution Tracking</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Not addressed</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Good</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Very Good (Bain)</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Accuracy</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65-75%</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81-89%</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85-95%</w:t>
            </w:r>
          </w:p>
        </w:tc>
      </w:tr>
    </w:tbl>
    <w:p/>
    <w:p>
      <w:r>
        <w:rPr>
          <w:rFonts w:ascii="Calibri" w:hAnsi="Calibri"/>
          <w:b/>
          <w:sz w:val="22"/>
        </w:rPr>
      </w:r>
      <w:r>
        <w:rPr>
          <w:rFonts w:ascii="Calibri" w:hAnsi="Calibri"/>
          <w:b/>
          <w:sz w:val="22"/>
        </w:rPr>
        <w:t>After the full roadmap, BTA reaches 85-90% of consulting firm capability at 0.01% of the cost — a compelling value proposition for any market segment.</w:t>
      </w:r>
      <w:r>
        <w:rPr>
          <w:rFonts w:ascii="Calibri" w:hAnsi="Calibri"/>
          <w:b/>
          <w:sz w:val="22"/>
        </w:rP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