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563EB"/>
          <w:sz w:val="22"/>
        </w:rPr>
        <w:t>HEINDRICH TRADING CORPORATION (HTC)</w:t>
      </w:r>
    </w:p>
    <w:p>
      <w:pPr>
        <w:spacing w:after="80"/>
      </w:pPr>
      <w:r>
        <w:rPr>
          <w:b/>
          <w:color w:val="0F172A"/>
          <w:sz w:val="36"/>
        </w:rPr>
        <w:t>PROJECT MASTER SPECIFICATION:</w:t>
        <w:br/>
        <w:t>SCOPE OF WORK, AGILE MILESTONE ACCEPTANCE &amp; SYSTEM REQUIREMENTS</w:t>
      </w:r>
    </w:p>
    <w:p>
      <w:pPr>
        <w:spacing w:after="280"/>
      </w:pPr>
      <w:r>
        <w:rPr>
          <w:color w:val="475569"/>
          <w:sz w:val="19"/>
        </w:rPr>
        <w:t>Platform: HTC Core Trading &amp; Logistics Management System (Capstone 2)</w:t>
        <w:br/>
        <w:t>Release: v2.3.0-prod | Production Host: https://htccore.tech/ | Date: October 12, 2026</w:t>
      </w:r>
    </w:p>
    <w:p>
      <w:pPr>
        <w:pStyle w:val="Heading2"/>
      </w:pPr>
      <w:r>
        <w:t>Document Control &amp; Revision History</w:t>
      </w:r>
    </w:p>
    <w:tbl>
      <w:tblPr>
        <w:tblW w:type="auto" w:w="0"/>
        <w:jc w:val="center"/>
        <w:tblLook w:firstColumn="1" w:firstRow="1" w:lastColumn="0" w:lastRow="0" w:noHBand="0" w:noVBand="1" w:val="04A0"/>
      </w:tblPr>
      <w:tblGrid>
        <w:gridCol w:w="2016"/>
        <w:gridCol w:w="2016"/>
        <w:gridCol w:w="2016"/>
        <w:gridCol w:w="2016"/>
        <w:gridCol w:w="2016"/>
      </w:tblGrid>
      <w:tr>
        <w:tc>
          <w:tcPr>
            <w:tcW w:type="dxa" w:w="1152"/>
            <w:shd w:fill="1E3A8A"/>
            <w:tcMar>
              <w:top w:w="120" w:type="dxa"/>
              <w:bottom w:w="120" w:type="dxa"/>
              <w:left w:w="150" w:type="dxa"/>
              <w:right w:w="150" w:type="dxa"/>
            </w:tcMar>
            <w:vAlign w:val="center"/>
          </w:tcPr>
          <w:p>
            <w:pPr>
              <w:jc w:val="left"/>
            </w:pPr>
            <w:r>
              <w:rPr>
                <w:b/>
                <w:color w:val="FFFFFF"/>
                <w:sz w:val="19"/>
              </w:rPr>
              <w:t>Version</w:t>
            </w:r>
          </w:p>
        </w:tc>
        <w:tc>
          <w:tcPr>
            <w:tcW w:type="dxa" w:w="1584"/>
            <w:shd w:fill="1E3A8A"/>
            <w:tcMar>
              <w:top w:w="120" w:type="dxa"/>
              <w:bottom w:w="120" w:type="dxa"/>
              <w:left w:w="150" w:type="dxa"/>
              <w:right w:w="150" w:type="dxa"/>
            </w:tcMar>
            <w:vAlign w:val="center"/>
          </w:tcPr>
          <w:p>
            <w:pPr>
              <w:jc w:val="left"/>
            </w:pPr>
            <w:r>
              <w:rPr>
                <w:b/>
                <w:color w:val="FFFFFF"/>
                <w:sz w:val="19"/>
              </w:rPr>
              <w:t>Release Date</w:t>
            </w:r>
          </w:p>
        </w:tc>
        <w:tc>
          <w:tcPr>
            <w:tcW w:type="dxa" w:w="1872"/>
            <w:shd w:fill="1E3A8A"/>
            <w:tcMar>
              <w:top w:w="120" w:type="dxa"/>
              <w:bottom w:w="120" w:type="dxa"/>
              <w:left w:w="150" w:type="dxa"/>
              <w:right w:w="150" w:type="dxa"/>
            </w:tcMar>
            <w:vAlign w:val="center"/>
          </w:tcPr>
          <w:p>
            <w:pPr>
              <w:jc w:val="left"/>
            </w:pPr>
            <w:r>
              <w:rPr>
                <w:b/>
                <w:color w:val="FFFFFF"/>
                <w:sz w:val="19"/>
              </w:rPr>
              <w:t>Author / Role</w:t>
            </w:r>
          </w:p>
        </w:tc>
        <w:tc>
          <w:tcPr>
            <w:tcW w:type="dxa" w:w="3744"/>
            <w:shd w:fill="1E3A8A"/>
            <w:tcMar>
              <w:top w:w="120" w:type="dxa"/>
              <w:bottom w:w="120" w:type="dxa"/>
              <w:left w:w="150" w:type="dxa"/>
              <w:right w:w="150" w:type="dxa"/>
            </w:tcMar>
            <w:vAlign w:val="center"/>
          </w:tcPr>
          <w:p>
            <w:pPr>
              <w:jc w:val="left"/>
            </w:pPr>
            <w:r>
              <w:rPr>
                <w:b/>
                <w:color w:val="FFFFFF"/>
                <w:sz w:val="19"/>
              </w:rPr>
              <w:t>Summary of Deliverable / Changes</w:t>
            </w:r>
          </w:p>
        </w:tc>
        <w:tc>
          <w:tcPr>
            <w:tcW w:type="dxa" w:w="1440"/>
            <w:shd w:fill="1E3A8A"/>
            <w:tcMar>
              <w:top w:w="120" w:type="dxa"/>
              <w:bottom w:w="120" w:type="dxa"/>
              <w:left w:w="150" w:type="dxa"/>
              <w:right w:w="150" w:type="dxa"/>
            </w:tcMar>
            <w:vAlign w:val="center"/>
          </w:tcPr>
          <w:p>
            <w:pPr>
              <w:jc w:val="left"/>
            </w:pPr>
            <w:r>
              <w:rPr>
                <w:b/>
                <w:color w:val="FFFFFF"/>
                <w:sz w:val="19"/>
              </w:rPr>
              <w:t>Status</w:t>
            </w:r>
          </w:p>
        </w:tc>
      </w:tr>
      <w:tr>
        <w:tc>
          <w:tcPr>
            <w:tcW w:type="dxa" w:w="1152"/>
            <w:shd w:fill="FFFFFF"/>
            <w:tcMar>
              <w:top w:w="80" w:type="dxa"/>
              <w:bottom w:w="80" w:type="dxa"/>
              <w:left w:w="140" w:type="dxa"/>
              <w:right w:w="140" w:type="dxa"/>
            </w:tcMar>
            <w:vAlign w:val="center"/>
          </w:tcPr>
          <w:p>
            <w:r>
              <w:rPr>
                <w:color w:val="1E293B"/>
                <w:sz w:val="18"/>
              </w:rPr>
              <w:t>v1.0.0</w:t>
            </w:r>
          </w:p>
        </w:tc>
        <w:tc>
          <w:tcPr>
            <w:tcW w:type="dxa" w:w="1584"/>
            <w:shd w:fill="FFFFFF"/>
            <w:tcMar>
              <w:top w:w="80" w:type="dxa"/>
              <w:bottom w:w="80" w:type="dxa"/>
              <w:left w:w="140" w:type="dxa"/>
              <w:right w:w="140" w:type="dxa"/>
            </w:tcMar>
            <w:vAlign w:val="center"/>
          </w:tcPr>
          <w:p>
            <w:r>
              <w:rPr>
                <w:color w:val="1E293B"/>
                <w:sz w:val="18"/>
              </w:rPr>
              <w:t>2026-06-20</w:t>
            </w:r>
          </w:p>
        </w:tc>
        <w:tc>
          <w:tcPr>
            <w:tcW w:type="dxa" w:w="1872"/>
            <w:shd w:fill="FFFFFF"/>
            <w:tcMar>
              <w:top w:w="80" w:type="dxa"/>
              <w:bottom w:w="80" w:type="dxa"/>
              <w:left w:w="140" w:type="dxa"/>
              <w:right w:w="140" w:type="dxa"/>
            </w:tcMar>
            <w:vAlign w:val="center"/>
          </w:tcPr>
          <w:p>
            <w:r>
              <w:rPr>
                <w:color w:val="1E293B"/>
                <w:sz w:val="18"/>
              </w:rPr>
              <w:t>Lead Architect</w:t>
            </w:r>
          </w:p>
        </w:tc>
        <w:tc>
          <w:tcPr>
            <w:tcW w:type="dxa" w:w="3744"/>
            <w:shd w:fill="FFFFFF"/>
            <w:tcMar>
              <w:top w:w="80" w:type="dxa"/>
              <w:bottom w:w="80" w:type="dxa"/>
              <w:left w:w="140" w:type="dxa"/>
              <w:right w:w="140" w:type="dxa"/>
            </w:tcMar>
            <w:vAlign w:val="center"/>
          </w:tcPr>
          <w:p>
            <w:r>
              <w:rPr>
                <w:color w:val="1E293B"/>
                <w:sz w:val="18"/>
              </w:rPr>
              <w:t>Initial Project Inception &amp; Master Data Architecture</w:t>
            </w:r>
          </w:p>
        </w:tc>
        <w:tc>
          <w:tcPr>
            <w:tcW w:type="dxa" w:w="1440"/>
            <w:shd w:fill="FFFFFF"/>
            <w:tcMar>
              <w:top w:w="80" w:type="dxa"/>
              <w:bottom w:w="80" w:type="dxa"/>
              <w:left w:w="140" w:type="dxa"/>
              <w:right w:w="140" w:type="dxa"/>
            </w:tcMar>
            <w:vAlign w:val="center"/>
          </w:tcPr>
          <w:p>
            <w:r>
              <w:rPr>
                <w:color w:val="1E293B"/>
                <w:sz w:val="18"/>
              </w:rPr>
              <w:t>Approved</w:t>
            </w:r>
          </w:p>
        </w:tc>
      </w:tr>
      <w:tr>
        <w:tc>
          <w:tcPr>
            <w:tcW w:type="dxa" w:w="1152"/>
            <w:shd w:fill="F8FAFC"/>
            <w:tcMar>
              <w:top w:w="80" w:type="dxa"/>
              <w:bottom w:w="80" w:type="dxa"/>
              <w:left w:w="140" w:type="dxa"/>
              <w:right w:w="140" w:type="dxa"/>
            </w:tcMar>
            <w:vAlign w:val="center"/>
          </w:tcPr>
          <w:p>
            <w:r>
              <w:rPr>
                <w:color w:val="1E293B"/>
                <w:sz w:val="18"/>
              </w:rPr>
              <w:t>v1.5.0</w:t>
            </w:r>
          </w:p>
        </w:tc>
        <w:tc>
          <w:tcPr>
            <w:tcW w:type="dxa" w:w="1584"/>
            <w:shd w:fill="F8FAFC"/>
            <w:tcMar>
              <w:top w:w="80" w:type="dxa"/>
              <w:bottom w:w="80" w:type="dxa"/>
              <w:left w:w="140" w:type="dxa"/>
              <w:right w:w="140" w:type="dxa"/>
            </w:tcMar>
            <w:vAlign w:val="center"/>
          </w:tcPr>
          <w:p>
            <w:r>
              <w:rPr>
                <w:color w:val="1E293B"/>
                <w:sz w:val="18"/>
              </w:rPr>
              <w:t>2026-10-03</w:t>
            </w:r>
          </w:p>
        </w:tc>
        <w:tc>
          <w:tcPr>
            <w:tcW w:type="dxa" w:w="1872"/>
            <w:shd w:fill="F8FAFC"/>
            <w:tcMar>
              <w:top w:w="80" w:type="dxa"/>
              <w:bottom w:w="80" w:type="dxa"/>
              <w:left w:w="140" w:type="dxa"/>
              <w:right w:w="140" w:type="dxa"/>
            </w:tcMar>
            <w:vAlign w:val="center"/>
          </w:tcPr>
          <w:p>
            <w:r>
              <w:rPr>
                <w:color w:val="1E293B"/>
                <w:sz w:val="18"/>
              </w:rPr>
              <w:t>Full-Stack Team</w:t>
            </w:r>
          </w:p>
        </w:tc>
        <w:tc>
          <w:tcPr>
            <w:tcW w:type="dxa" w:w="3744"/>
            <w:shd w:fill="F8FAFC"/>
            <w:tcMar>
              <w:top w:w="80" w:type="dxa"/>
              <w:bottom w:w="80" w:type="dxa"/>
              <w:left w:w="140" w:type="dxa"/>
              <w:right w:w="140" w:type="dxa"/>
            </w:tcMar>
            <w:vAlign w:val="center"/>
          </w:tcPr>
          <w:p>
            <w:r>
              <w:rPr>
                <w:color w:val="1E293B"/>
                <w:sz w:val="18"/>
              </w:rPr>
              <w:t>Phase 1.5 UAT Execution, MRO Linking, Elderly Usability (A+)</w:t>
            </w:r>
          </w:p>
        </w:tc>
        <w:tc>
          <w:tcPr>
            <w:tcW w:type="dxa" w:w="1440"/>
            <w:shd w:fill="F8FAFC"/>
            <w:tcMar>
              <w:top w:w="80" w:type="dxa"/>
              <w:bottom w:w="80" w:type="dxa"/>
              <w:left w:w="140" w:type="dxa"/>
              <w:right w:w="140" w:type="dxa"/>
            </w:tcMar>
            <w:vAlign w:val="center"/>
          </w:tcPr>
          <w:p>
            <w:r>
              <w:rPr>
                <w:color w:val="1E293B"/>
                <w:sz w:val="18"/>
              </w:rPr>
              <w:t>Approved</w:t>
            </w:r>
          </w:p>
        </w:tc>
      </w:tr>
      <w:tr>
        <w:tc>
          <w:tcPr>
            <w:tcW w:type="dxa" w:w="1152"/>
            <w:shd w:fill="FFFFFF"/>
            <w:tcMar>
              <w:top w:w="80" w:type="dxa"/>
              <w:bottom w:w="80" w:type="dxa"/>
              <w:left w:w="140" w:type="dxa"/>
              <w:right w:w="140" w:type="dxa"/>
            </w:tcMar>
            <w:vAlign w:val="center"/>
          </w:tcPr>
          <w:p>
            <w:r>
              <w:rPr>
                <w:color w:val="1E293B"/>
                <w:sz w:val="18"/>
              </w:rPr>
              <w:t>v2.0.0</w:t>
            </w:r>
          </w:p>
        </w:tc>
        <w:tc>
          <w:tcPr>
            <w:tcW w:type="dxa" w:w="1584"/>
            <w:shd w:fill="FFFFFF"/>
            <w:tcMar>
              <w:top w:w="80" w:type="dxa"/>
              <w:bottom w:w="80" w:type="dxa"/>
              <w:left w:w="140" w:type="dxa"/>
              <w:right w:w="140" w:type="dxa"/>
            </w:tcMar>
            <w:vAlign w:val="center"/>
          </w:tcPr>
          <w:p>
            <w:r>
              <w:rPr>
                <w:color w:val="1E293B"/>
                <w:sz w:val="18"/>
              </w:rPr>
              <w:t>2026-10-10</w:t>
            </w:r>
          </w:p>
        </w:tc>
        <w:tc>
          <w:tcPr>
            <w:tcW w:type="dxa" w:w="1872"/>
            <w:shd w:fill="FFFFFF"/>
            <w:tcMar>
              <w:top w:w="80" w:type="dxa"/>
              <w:bottom w:w="80" w:type="dxa"/>
              <w:left w:w="140" w:type="dxa"/>
              <w:right w:w="140" w:type="dxa"/>
            </w:tcMar>
            <w:vAlign w:val="center"/>
          </w:tcPr>
          <w:p>
            <w:r>
              <w:rPr>
                <w:color w:val="1E293B"/>
                <w:sz w:val="18"/>
              </w:rPr>
              <w:t>Systems Architect</w:t>
            </w:r>
          </w:p>
        </w:tc>
        <w:tc>
          <w:tcPr>
            <w:tcW w:type="dxa" w:w="3744"/>
            <w:shd w:fill="FFFFFF"/>
            <w:tcMar>
              <w:top w:w="80" w:type="dxa"/>
              <w:bottom w:w="80" w:type="dxa"/>
              <w:left w:w="140" w:type="dxa"/>
              <w:right w:w="140" w:type="dxa"/>
            </w:tcMar>
            <w:vAlign w:val="center"/>
          </w:tcPr>
          <w:p>
            <w:r>
              <w:rPr>
                <w:color w:val="1E293B"/>
                <w:sz w:val="18"/>
              </w:rPr>
              <w:t>Multi-Batch Delivery Ledger, Freight Rates &amp; Suggestive Invoicing</w:t>
            </w:r>
          </w:p>
        </w:tc>
        <w:tc>
          <w:tcPr>
            <w:tcW w:type="dxa" w:w="1440"/>
            <w:shd w:fill="FFFFFF"/>
            <w:tcMar>
              <w:top w:w="80" w:type="dxa"/>
              <w:bottom w:w="80" w:type="dxa"/>
              <w:left w:w="140" w:type="dxa"/>
              <w:right w:w="140" w:type="dxa"/>
            </w:tcMar>
            <w:vAlign w:val="center"/>
          </w:tcPr>
          <w:p>
            <w:r>
              <w:rPr>
                <w:color w:val="1E293B"/>
                <w:sz w:val="18"/>
              </w:rPr>
              <w:t>Approved</w:t>
            </w:r>
          </w:p>
        </w:tc>
      </w:tr>
      <w:tr>
        <w:tc>
          <w:tcPr>
            <w:tcW w:type="dxa" w:w="1152"/>
            <w:shd w:fill="F8FAFC"/>
            <w:tcMar>
              <w:top w:w="80" w:type="dxa"/>
              <w:bottom w:w="80" w:type="dxa"/>
              <w:left w:w="140" w:type="dxa"/>
              <w:right w:w="140" w:type="dxa"/>
            </w:tcMar>
            <w:vAlign w:val="center"/>
          </w:tcPr>
          <w:p>
            <w:r>
              <w:rPr>
                <w:color w:val="1E293B"/>
                <w:sz w:val="18"/>
              </w:rPr>
              <w:t>v2.2.0</w:t>
            </w:r>
          </w:p>
        </w:tc>
        <w:tc>
          <w:tcPr>
            <w:tcW w:type="dxa" w:w="1584"/>
            <w:shd w:fill="F8FAFC"/>
            <w:tcMar>
              <w:top w:w="80" w:type="dxa"/>
              <w:bottom w:w="80" w:type="dxa"/>
              <w:left w:w="140" w:type="dxa"/>
              <w:right w:w="140" w:type="dxa"/>
            </w:tcMar>
            <w:vAlign w:val="center"/>
          </w:tcPr>
          <w:p>
            <w:r>
              <w:rPr>
                <w:color w:val="1E293B"/>
                <w:sz w:val="18"/>
              </w:rPr>
              <w:t>2026-10-11</w:t>
            </w:r>
          </w:p>
        </w:tc>
        <w:tc>
          <w:tcPr>
            <w:tcW w:type="dxa" w:w="1872"/>
            <w:shd w:fill="F8FAFC"/>
            <w:tcMar>
              <w:top w:w="80" w:type="dxa"/>
              <w:bottom w:w="80" w:type="dxa"/>
              <w:left w:w="140" w:type="dxa"/>
              <w:right w:w="140" w:type="dxa"/>
            </w:tcMar>
            <w:vAlign w:val="center"/>
          </w:tcPr>
          <w:p>
            <w:r>
              <w:rPr>
                <w:color w:val="1E293B"/>
                <w:sz w:val="18"/>
              </w:rPr>
              <w:t>Lead Engineer</w:t>
            </w:r>
          </w:p>
        </w:tc>
        <w:tc>
          <w:tcPr>
            <w:tcW w:type="dxa" w:w="3744"/>
            <w:shd w:fill="F8FAFC"/>
            <w:tcMar>
              <w:top w:w="80" w:type="dxa"/>
              <w:bottom w:w="80" w:type="dxa"/>
              <w:left w:w="140" w:type="dxa"/>
              <w:right w:w="140" w:type="dxa"/>
            </w:tcMar>
            <w:vAlign w:val="center"/>
          </w:tcPr>
          <w:p>
            <w:r>
              <w:rPr>
                <w:color w:val="1E293B"/>
                <w:sz w:val="18"/>
              </w:rPr>
              <w:t>EC2 Production Deployment, Dual-Auth Loan Approval, Strict Isolation</w:t>
            </w:r>
          </w:p>
        </w:tc>
        <w:tc>
          <w:tcPr>
            <w:tcW w:type="dxa" w:w="1440"/>
            <w:shd w:fill="F8FAFC"/>
            <w:tcMar>
              <w:top w:w="80" w:type="dxa"/>
              <w:bottom w:w="80" w:type="dxa"/>
              <w:left w:w="140" w:type="dxa"/>
              <w:right w:w="140" w:type="dxa"/>
            </w:tcMar>
            <w:vAlign w:val="center"/>
          </w:tcPr>
          <w:p>
            <w:r>
              <w:rPr>
                <w:color w:val="1E293B"/>
                <w:sz w:val="18"/>
              </w:rPr>
              <w:t>Approved</w:t>
            </w:r>
          </w:p>
        </w:tc>
      </w:tr>
      <w:tr>
        <w:tc>
          <w:tcPr>
            <w:tcW w:type="dxa" w:w="1152"/>
            <w:shd w:fill="FFFFFF"/>
            <w:tcMar>
              <w:top w:w="80" w:type="dxa"/>
              <w:bottom w:w="80" w:type="dxa"/>
              <w:left w:w="140" w:type="dxa"/>
              <w:right w:w="140" w:type="dxa"/>
            </w:tcMar>
            <w:vAlign w:val="center"/>
          </w:tcPr>
          <w:p>
            <w:r>
              <w:rPr>
                <w:color w:val="1E293B"/>
                <w:sz w:val="18"/>
              </w:rPr>
              <w:t>v2.3.0</w:t>
            </w:r>
          </w:p>
        </w:tc>
        <w:tc>
          <w:tcPr>
            <w:tcW w:type="dxa" w:w="1584"/>
            <w:shd w:fill="FFFFFF"/>
            <w:tcMar>
              <w:top w:w="80" w:type="dxa"/>
              <w:bottom w:w="80" w:type="dxa"/>
              <w:left w:w="140" w:type="dxa"/>
              <w:right w:w="140" w:type="dxa"/>
            </w:tcMar>
            <w:vAlign w:val="center"/>
          </w:tcPr>
          <w:p>
            <w:r>
              <w:rPr>
                <w:color w:val="1E293B"/>
                <w:sz w:val="18"/>
              </w:rPr>
              <w:t>2026-10-12</w:t>
            </w:r>
          </w:p>
        </w:tc>
        <w:tc>
          <w:tcPr>
            <w:tcW w:type="dxa" w:w="1872"/>
            <w:shd w:fill="FFFFFF"/>
            <w:tcMar>
              <w:top w:w="80" w:type="dxa"/>
              <w:bottom w:w="80" w:type="dxa"/>
              <w:left w:w="140" w:type="dxa"/>
              <w:right w:w="140" w:type="dxa"/>
            </w:tcMar>
            <w:vAlign w:val="center"/>
          </w:tcPr>
          <w:p>
            <w:r>
              <w:rPr>
                <w:color w:val="1E293B"/>
                <w:sz w:val="18"/>
              </w:rPr>
              <w:t>Full-Stack Team</w:t>
            </w:r>
          </w:p>
        </w:tc>
        <w:tc>
          <w:tcPr>
            <w:tcW w:type="dxa" w:w="3744"/>
            <w:shd w:fill="FFFFFF"/>
            <w:tcMar>
              <w:top w:w="80" w:type="dxa"/>
              <w:bottom w:w="80" w:type="dxa"/>
              <w:left w:w="140" w:type="dxa"/>
              <w:right w:w="140" w:type="dxa"/>
            </w:tcMar>
            <w:vAlign w:val="center"/>
          </w:tcPr>
          <w:p>
            <w:r>
              <w:rPr>
                <w:color w:val="1E293B"/>
                <w:sz w:val="18"/>
              </w:rPr>
              <w:t>AWS Textract Document AI OCR, PO View Manual Input &amp; Scan Preview</w:t>
            </w:r>
          </w:p>
        </w:tc>
        <w:tc>
          <w:tcPr>
            <w:tcW w:type="dxa" w:w="1440"/>
            <w:shd w:fill="FFFFFF"/>
            <w:tcMar>
              <w:top w:w="80" w:type="dxa"/>
              <w:bottom w:w="80" w:type="dxa"/>
              <w:left w:w="140" w:type="dxa"/>
              <w:right w:w="140" w:type="dxa"/>
            </w:tcMar>
            <w:vAlign w:val="center"/>
          </w:tcPr>
          <w:p>
            <w:r>
              <w:rPr>
                <w:color w:val="1E293B"/>
                <w:sz w:val="18"/>
              </w:rPr>
              <w:t>FINAL SIGN-OFF</w:t>
            </w:r>
          </w:p>
        </w:tc>
      </w:tr>
    </w:tbl>
    <w:p>
      <w:pPr>
        <w:spacing w:after="160"/>
      </w:pPr>
    </w:p>
    <w:p>
      <w:pPr>
        <w:pStyle w:val="Heading1"/>
      </w:pPr>
      <w:r>
        <w:t>Section I: Scope of Work (SOW)</w:t>
      </w:r>
    </w:p>
    <w:p>
      <w:r>
        <w:rPr>
          <w:b/>
        </w:rPr>
        <w:t>1.1 Business Background &amp; Project Objectives</w:t>
        <w:br/>
      </w:r>
      <w:r>
        <w:t>Heindrich Trading Corporation (HTC) engages in commercial bulk commodity trading of raw sugar, refined sugar, and molasses across the Philippines, sourcing directly from partner sugar mills (BUSCO, Hawaiian-Philippine, BISCOM, CASA, Lopez Sugar, URC-SONEDCO) and distributing to premier industrial food and beverage manufacturers (San Miguel Corporation, Ginebra San Miguel, Distileria Bago, Universal Robina, ADI). Prior manual workflows relied on fragmented spreadsheets, creating risks of transit shrinkage exceeding 1.0%, untracked freight rates, delayed customer billing, and disjointed release permits.</w:t>
        <w:br/>
        <w:br/>
        <w:t>The Scope of Work for HTC Core encompasses the complete engineering, validation, and cloud deployment of an integrated web application automating the procurement-to-cash lifecycle.</w:t>
      </w:r>
    </w:p>
    <w:p>
      <w:pPr>
        <w:pStyle w:val="Heading2"/>
      </w:pPr>
      <w:r>
        <w:t>1.2 In-Scope Functional Modules</w:t>
      </w:r>
    </w:p>
    <w:p>
      <w:r>
        <w:rPr>
          <w:b/>
          <w:color w:val="1E3A8A"/>
        </w:rPr>
        <w:t xml:space="preserve">• Module 1: Master Data Management (MDM): </w:t>
      </w:r>
      <w:r>
        <w:t>Relational directories for Clients, Sugar Mills, Planter Associations, and Logistics Freight Partners with active/inactive status and validation governance.</w:t>
      </w:r>
    </w:p>
    <w:p>
      <w:r>
        <w:rPr>
          <w:b/>
          <w:color w:val="1E3A8A"/>
        </w:rPr>
        <w:t xml:space="preserve">• Module 2: Parent Purchase Orders &amp; Sourcing Clusters: </w:t>
      </w:r>
      <w:r>
        <w:t>Parent PO contract definition (contracted metric tons, selling price, purchasing cost, quality specs), sourcing transaction clusters, and auto-generated reference codes (PO-YYYYMMDD-XXX).</w:t>
      </w:r>
    </w:p>
    <w:p>
      <w:r>
        <w:rPr>
          <w:b/>
          <w:color w:val="1E3A8A"/>
        </w:rPr>
        <w:t xml:space="preserve">• Module 3: Incremental Multi-Batch Delivery Ledger: </w:t>
      </w:r>
      <w:r>
        <w:t>Partial delivery tracking fulfilling parent POs, dynamic multi-mill sourcing per batch, dynamic destination selection, and automated over-delivery rejection guards.</w:t>
      </w:r>
    </w:p>
    <w:p>
      <w:r>
        <w:rPr>
          <w:b/>
          <w:color w:val="1E3A8A"/>
        </w:rPr>
        <w:t xml:space="preserve">• Module 4: Multi-Batch Freight Rates &amp; Transportation Economics: </w:t>
      </w:r>
      <w:r>
        <w:t>Per-batch land trucking and marine barging rates (₱/MT), carrier attribution, vessel identification, mill departure / destination arrival timestamps, and automated logistics fee synchronization.</w:t>
      </w:r>
    </w:p>
    <w:p>
      <w:r>
        <w:rPr>
          <w:b/>
          <w:color w:val="1E3A8A"/>
        </w:rPr>
        <w:t xml:space="preserve">• Module 5: Molasses Release Order (MRO) Permitting &amp; Document AI: </w:t>
      </w:r>
      <w:r>
        <w:t>Digital MRO ledger, cluster permit binding, AWS Textract Document AI OCR parsing, PO-level manual input matching HTC system form, instant client-side scan preview (PDF/Image), and in-page document modal viewer.</w:t>
      </w:r>
    </w:p>
    <w:p>
      <w:r>
        <w:rPr>
          <w:b/>
          <w:color w:val="1E3A8A"/>
        </w:rPr>
        <w:t xml:space="preserve">• Module 6: Financial Treasury, Capital Loans &amp; Reconciliation: </w:t>
      </w:r>
      <w:r>
        <w:t>Capital loan facility tracking, dynamic daily interest accruals, executive dual-authorization verification, suggestive invoicing (delivered_mt * selling_price), cash expense vouchers, and 3-step payment matching.</w:t>
      </w:r>
    </w:p>
    <w:p>
      <w:r>
        <w:rPr>
          <w:b/>
          <w:color w:val="1E3A8A"/>
        </w:rPr>
        <w:t xml:space="preserve">• Module 7: Access Governance, Assistive AI &amp; Usability: </w:t>
      </w:r>
      <w:r>
        <w:t>Seven RBAC roles, administrative registration approval, TOTP 2FA, immutable audit trail (django-simple-history), HTC Copilot natural language assistant, and High-Legibility Elderly Usability Mode (A+) with 17px body base and 48px touch targets.</w:t>
      </w:r>
    </w:p>
    <w:p>
      <w:pPr>
        <w:pStyle w:val="Heading2"/>
      </w:pPr>
      <w:r>
        <w:t>1.3 In-Scope Cloud Infrastructure &amp; DevOps</w:t>
      </w:r>
    </w:p>
    <w:p>
      <w:r>
        <w:t>• Docker Compose Microservices: Multi-container stack (web, celery_worker, celery_beat, db, redis, nginx).</w:t>
        <w:br/>
        <w:t>• Amazon EC2 Production Host: Ubuntu 24.04 LTS host (18.140.166.84) with Elastic IP mapping.</w:t>
        <w:br/>
        <w:t>• Edge Routing &amp; Security: Nginx 1.27 reverse proxy with Let's Encrypt TLS/SSL encryption (https://htccore.tech/).</w:t>
        <w:br/>
        <w:t>• Asynchronous Queue &amp; DB: Redis 7 broker, Celery worker for OCR offloading, and PostgreSQL 16 on persistent EBS storage.</w:t>
        <w:br/>
        <w:t>• Deployment Automation: Production bash script (scripts/deploy_ec2.sh) automating git pull, container builds, migrations, and static asset collection.</w:t>
      </w:r>
    </w:p>
    <w:p>
      <w:pPr>
        <w:pStyle w:val="Heading2"/>
      </w:pPr>
      <w:r>
        <w:t>1.4 Explicit Out-of-Scope Boundaries</w:t>
      </w:r>
    </w:p>
    <w:p>
      <w:r>
        <w:t>To prevent scope creep, the following elements are explicitly OUT OF SCOPE:</w:t>
        <w:br/>
        <w:t>1. Direct automated core-banking API scraping or direct electronic wire fund execution (bank receipts are verified via reference vouchers).</w:t>
        <w:br/>
        <w:t>2. Direct IoT telemetry integration with physical weighbridge scale hardware (certified weighbridge tickets are inputted).</w:t>
        <w:br/>
        <w:t>3. Live satellite GPS transponder feeds from marine barges (transit milestones recorded via departure/arrival logs).</w:t>
        <w:br/>
        <w:t>4. Automated bidirectional synchronization with third-party external ERPs (SAP/QuickBooks); platform provides native self-balancing ledgers with CSV export.</w:t>
      </w:r>
    </w:p>
    <w:p>
      <w:pPr>
        <w:pStyle w:val="Heading2"/>
      </w:pPr>
      <w:r>
        <w:t>1.5 SOW Formal Sign-Off Agreement</w:t>
      </w: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200" w:type="dxa"/>
              <w:right w:w="200" w:type="dxa"/>
            </w:tcMar>
            <w:tcBorders>
              <w:top w:val="none"/>
              <w:left w:val="single" w:sz="24" w:space="0" w:color="2563EB"/>
              <w:bottom w:val="none"/>
              <w:right w:val="none"/>
            </w:tcBorders>
          </w:tcPr>
          <w:p>
            <w:pPr>
              <w:spacing w:before="40" w:after="40"/>
            </w:pPr>
            <w:r>
              <w:rPr>
                <w:b/>
                <w:color w:val="1E3A8A"/>
                <w:sz w:val="19"/>
              </w:rPr>
              <w:t>STATEMENT OF SCOPE ACCEPTANCE</w:t>
              <w:br/>
            </w:r>
            <w:r>
              <w:rPr>
                <w:i/>
                <w:color w:val="334155"/>
                <w:sz w:val="18"/>
              </w:rPr>
              <w:t>By signing below, Heindrich Trading Corporation and the Capstone 2 Engineering Team formally agree that the scope described above represents the full, agreed-upon operational boundaries of the HTC Core platform and has been delivered in full.</w:t>
            </w:r>
          </w:p>
        </w:tc>
      </w:tr>
    </w:tbl>
    <w:tbl>
      <w:tblPr>
        <w:tblW w:type="auto" w:w="0"/>
        <w:jc w:val="center"/>
        <w:tblLook w:firstColumn="1" w:firstRow="1" w:lastColumn="0" w:lastRow="0" w:noHBand="0" w:noVBand="1" w:val="04A0"/>
      </w:tblPr>
      <w:tblGrid>
        <w:gridCol w:w="5040"/>
        <w:gridCol w:w="5040"/>
      </w:tblGrid>
      <w:tr>
        <w:tc>
          <w:tcPr>
            <w:tcW w:type="dxa" w:w="4752"/>
            <w:shd w:fill="1E3A8A"/>
            <w:tcMar>
              <w:top w:w="120" w:type="dxa"/>
              <w:bottom w:w="120" w:type="dxa"/>
              <w:left w:w="150" w:type="dxa"/>
              <w:right w:w="150" w:type="dxa"/>
            </w:tcMar>
            <w:vAlign w:val="center"/>
          </w:tcPr>
          <w:p>
            <w:pPr>
              <w:jc w:val="left"/>
            </w:pPr>
            <w:r>
              <w:rPr>
                <w:b/>
                <w:color w:val="FFFFFF"/>
                <w:sz w:val="19"/>
              </w:rPr>
              <w:t>CLIENT STAKEHOLDERS (HTC)</w:t>
            </w:r>
          </w:p>
        </w:tc>
        <w:tc>
          <w:tcPr>
            <w:tcW w:type="dxa" w:w="4752"/>
            <w:shd w:fill="1E3A8A"/>
            <w:tcMar>
              <w:top w:w="120" w:type="dxa"/>
              <w:bottom w:w="120" w:type="dxa"/>
              <w:left w:w="150" w:type="dxa"/>
              <w:right w:w="150" w:type="dxa"/>
            </w:tcMar>
            <w:vAlign w:val="center"/>
          </w:tcPr>
          <w:p>
            <w:pPr>
              <w:jc w:val="left"/>
            </w:pPr>
            <w:r>
              <w:rPr>
                <w:b/>
                <w:color w:val="FFFFFF"/>
                <w:sz w:val="19"/>
              </w:rPr>
              <w:t>DEVELOPMENT TEAM (CAPSTONE 2)</w:t>
            </w:r>
          </w:p>
        </w:tc>
      </w:tr>
      <w:tr>
        <w:tc>
          <w:tcPr>
            <w:tcW w:type="dxa" w:w="5040"/>
            <w:shd w:fill="F8FAFC"/>
            <w:tcMar>
              <w:top w:w="100" w:type="dxa"/>
              <w:bottom w:w="100" w:type="dxa"/>
              <w:left w:w="140" w:type="dxa"/>
              <w:right w:w="140" w:type="dxa"/>
            </w:tcMar>
          </w:tcPr>
          <w:p>
            <w:r>
              <w:rPr>
                <w:b/>
              </w:rPr>
              <w:t>[CLIENT] Client Executive Sponsor</w:t>
              <w:br/>
            </w:r>
            <w:r>
              <w:t>Organization: Heindrich Trading Corporation</w:t>
              <w:br/>
            </w:r>
            <w:r>
              <w:t>Signature: ___________________________</w:t>
              <w:br/>
            </w:r>
            <w:r>
              <w:t>Date: _____ / _____ / 2026</w:t>
            </w:r>
          </w:p>
        </w:tc>
        <w:tc>
          <w:tcPr>
            <w:tcW w:type="dxa" w:w="5040"/>
            <w:shd w:fill="F8FAFC"/>
            <w:tcMar>
              <w:top w:w="100" w:type="dxa"/>
              <w:bottom w:w="100" w:type="dxa"/>
              <w:left w:w="140" w:type="dxa"/>
              <w:right w:w="140" w:type="dxa"/>
            </w:tcMar>
          </w:tcPr>
          <w:p>
            <w:r>
              <w:rPr>
                <w:b/>
              </w:rPr>
              <w:t>[DEVELOPER] Lead Systems Architect</w:t>
              <w:br/>
            </w:r>
            <w:r>
              <w:t>Organization: Capstone Engineering Team</w:t>
              <w:br/>
            </w:r>
            <w:r>
              <w:t>Signature: ___________________________</w:t>
              <w:br/>
            </w:r>
            <w:r>
              <w:t>Date: _____ / _____ / 2026</w:t>
            </w:r>
          </w:p>
        </w:tc>
      </w:tr>
      <w:tr>
        <w:tc>
          <w:tcPr>
            <w:tcW w:type="dxa" w:w="5040"/>
            <w:shd w:fill="F8FAFC"/>
            <w:tcMar>
              <w:top w:w="100" w:type="dxa"/>
              <w:bottom w:w="100" w:type="dxa"/>
              <w:left w:w="140" w:type="dxa"/>
              <w:right w:w="140" w:type="dxa"/>
            </w:tcMar>
          </w:tcPr>
          <w:p>
            <w:r>
              <w:rPr>
                <w:b/>
              </w:rPr>
              <w:t>[CLIENT] Client Operations Lead</w:t>
              <w:br/>
            </w:r>
            <w:r>
              <w:t>Organization: Heindrich Trading Corporation</w:t>
              <w:br/>
            </w:r>
            <w:r>
              <w:t>Signature: ___________________________</w:t>
              <w:br/>
            </w:r>
            <w:r>
              <w:t>Date: _____ / _____ / 2026</w:t>
            </w:r>
          </w:p>
        </w:tc>
        <w:tc>
          <w:tcPr>
            <w:tcW w:type="dxa" w:w="5040"/>
            <w:shd w:fill="F8FAFC"/>
            <w:tcMar>
              <w:top w:w="100" w:type="dxa"/>
              <w:bottom w:w="100" w:type="dxa"/>
              <w:left w:w="140" w:type="dxa"/>
              <w:right w:w="140" w:type="dxa"/>
            </w:tcMar>
          </w:tcPr>
          <w:p>
            <w:r>
              <w:rPr>
                <w:b/>
              </w:rPr>
              <w:t>[DEVELOPER] Lead Full-Stack Developer</w:t>
              <w:br/>
            </w:r>
            <w:r>
              <w:t>Organization: Capstone Engineering Team</w:t>
              <w:br/>
            </w:r>
            <w:r>
              <w:t>Signature: ___________________________</w:t>
              <w:br/>
            </w:r>
            <w:r>
              <w:t>Date: _____ / _____ / 2026</w:t>
            </w:r>
          </w:p>
        </w:tc>
      </w:tr>
      <w:tr>
        <w:tc>
          <w:tcPr>
            <w:tcW w:type="dxa" w:w="5040"/>
            <w:shd w:fill="F8FAFC"/>
            <w:tcMar>
              <w:top w:w="100" w:type="dxa"/>
              <w:bottom w:w="100" w:type="dxa"/>
              <w:left w:w="140" w:type="dxa"/>
              <w:right w:w="140" w:type="dxa"/>
            </w:tcMar>
          </w:tcPr>
          <w:p>
            <w:r>
              <w:rPr>
                <w:b/>
              </w:rPr>
              <w:t>[CLIENT] Client Finance Officer</w:t>
              <w:br/>
            </w:r>
            <w:r>
              <w:t>Organization: Heindrich Trading Corporation</w:t>
              <w:br/>
            </w:r>
            <w:r>
              <w:t>Signature: ___________________________</w:t>
              <w:br/>
            </w:r>
            <w:r>
              <w:t>Date: _____ / _____ / 2026</w:t>
            </w:r>
          </w:p>
        </w:tc>
        <w:tc>
          <w:tcPr>
            <w:tcW w:type="dxa" w:w="5040"/>
            <w:shd w:fill="F8FAFC"/>
            <w:tcMar>
              <w:top w:w="100" w:type="dxa"/>
              <w:bottom w:w="100" w:type="dxa"/>
              <w:left w:w="140" w:type="dxa"/>
              <w:right w:w="140" w:type="dxa"/>
            </w:tcMar>
          </w:tcPr>
          <w:p>
            <w:r>
              <w:rPr>
                <w:b/>
              </w:rPr>
              <w:t>[DEVELOPER] DevOps &amp; QA Lead</w:t>
              <w:br/>
            </w:r>
            <w:r>
              <w:t>Organization: Capstone Engineering Team</w:t>
              <w:br/>
            </w:r>
            <w:r>
              <w:t>Signature: ___________________________</w:t>
              <w:br/>
            </w:r>
            <w:r>
              <w:t>Date: _____ / _____ / 2026</w:t>
            </w:r>
          </w:p>
        </w:tc>
      </w:tr>
    </w:tbl>
    <w:p>
      <w:r>
        <w:br w:type="page"/>
      </w:r>
    </w:p>
    <w:p>
      <w:pPr>
        <w:pStyle w:val="Heading1"/>
      </w:pPr>
      <w:r>
        <w:t>Section II: Agile Development Methodology &amp; Per-Milestone Sign-Off</w:t>
      </w:r>
    </w:p>
    <w:p>
      <w:r>
        <w:t>The project adopted an empirical Agile / Scrum framework structured into five (5) progressive Milestones. Each milestone required automated test validation, stakeholder demonstration, and dual sign-off from both the Lead Developer (engineering acceptance) and Client Representatives (operational acceptance).</w:t>
      </w:r>
    </w:p>
    <w:p>
      <w:pPr>
        <w:pStyle w:val="Heading2"/>
      </w:pPr>
      <w:r>
        <w:t>Milestone 1: Inception, Architecture &amp; Master Data Management</w:t>
      </w:r>
    </w:p>
    <w:p>
      <w:r>
        <w:rPr>
          <w:b/>
          <w:color w:val="1E3A8A"/>
        </w:rPr>
        <w:t>Sprint Cadence: Weeks 1 – 3 | Release Baseline: v1.0.0-rc1</w:t>
        <w:br/>
      </w:r>
    </w:p>
    <w:p>
      <w:r>
        <w:rPr>
          <w:b/>
        </w:rPr>
        <w:t>Key Milestone Deliverables:</w:t>
        <w:br/>
      </w:r>
      <w:r>
        <w:t xml:space="preserve">  • Docker Compose multi-service containerization baseline.</w:t>
        <w:br/>
      </w:r>
      <w:r>
        <w:t xml:space="preserve">  • Relational schema for Clients, Sugar Mills, Planters, and Haulers.</w:t>
        <w:br/>
      </w:r>
      <w:r>
        <w:t xml:space="preserve">  • Custom User authentication model with 7 RBAC roles and admin approval gating.</w:t>
        <w:br/>
      </w:r>
      <w:r>
        <w:t xml:space="preserve">  • TOTP Two-Factor Authentication (2FA) with QR code setup and single-use emergency recovery codes.</w:t>
        <w:br/>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200" w:type="dxa"/>
              <w:right w:w="200" w:type="dxa"/>
            </w:tcMar>
            <w:tcBorders>
              <w:top w:val="none"/>
              <w:left w:val="single" w:sz="24" w:space="0" w:color="16A34A"/>
              <w:bottom w:val="none"/>
              <w:right w:val="none"/>
            </w:tcBorders>
          </w:tcPr>
          <w:p>
            <w:pPr>
              <w:spacing w:before="40" w:after="40"/>
            </w:pPr>
            <w:r>
              <w:rPr>
                <w:b/>
                <w:color w:val="1E3A8A"/>
                <w:sz w:val="19"/>
              </w:rPr>
              <w:t>TECHNICAL VERIFICATION &amp; QUALITY EVIDENCE</w:t>
              <w:br/>
            </w:r>
            <w:r>
              <w:rPr>
                <w:i/>
                <w:color w:val="334155"/>
                <w:sz w:val="18"/>
              </w:rPr>
              <w:t>14 Unit Tests Passed (100% pass rate). Zero security vulnerabilities identified.</w:t>
            </w:r>
          </w:p>
        </w:tc>
      </w:tr>
    </w:tbl>
    <w:p>
      <w:pPr>
        <w:spacing w:after="40"/>
      </w:pPr>
    </w:p>
    <w:tbl>
      <w:tblPr>
        <w:tblW w:type="auto" w:w="0"/>
        <w:jc w:val="center"/>
        <w:tblLayout w:type="fixed"/>
        <w:tblLook w:firstColumn="1" w:firstRow="1" w:lastColumn="0" w:lastRow="0" w:noHBand="0" w:noVBand="1" w:val="04A0"/>
      </w:tblPr>
      <w:tblGrid>
        <w:gridCol w:w="5040"/>
        <w:gridCol w:w="5040"/>
      </w:tblGrid>
      <w:tr>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2563EB"/>
                <w:sz w:val="17"/>
              </w:rPr>
              <w:t>DEVELOPER SIGN-OFF: MILESTONE ACCEPTANCE</w:t>
              <w:br/>
            </w:r>
            <w:r>
              <w:t>Representative: Capstone Team</w:t>
              <w:br/>
            </w:r>
            <w:r>
              <w:t>Designation: Lead Systems Architect</w:t>
              <w:br/>
              <w:br/>
            </w:r>
            <w:r>
              <w:t>Signature: ___________________________</w:t>
              <w:br/>
            </w:r>
            <w:r>
              <w:t>Date Signed: _____ / _____ / 2026</w:t>
            </w:r>
          </w:p>
        </w:tc>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166534"/>
                <w:sz w:val="17"/>
              </w:rPr>
              <w:t>CLIENT SIGN-OFF: CLIENT STAKEHOLDER ACCEPTANCE</w:t>
              <w:br/>
            </w:r>
            <w:r>
              <w:t>Representative: HTC Representative</w:t>
              <w:br/>
            </w:r>
            <w:r>
              <w:t>Designation: Client Project Manager</w:t>
              <w:br/>
              <w:br/>
            </w:r>
            <w:r>
              <w:t>Signature: ___________________________</w:t>
              <w:br/>
            </w:r>
            <w:r>
              <w:t>Date Signed: _____ / _____ / 2026</w:t>
            </w:r>
          </w:p>
        </w:tc>
      </w:tr>
    </w:tbl>
    <w:p>
      <w:pPr>
        <w:spacing w:after="160"/>
      </w:pPr>
    </w:p>
    <w:p>
      <w:pPr>
        <w:pStyle w:val="Heading2"/>
      </w:pPr>
      <w:r>
        <w:t>Milestone 2: Operations Engine, Parent POs &amp; Incremental Delivery Ledger</w:t>
      </w:r>
    </w:p>
    <w:p>
      <w:r>
        <w:rPr>
          <w:b/>
          <w:color w:val="1E3A8A"/>
        </w:rPr>
        <w:t>Sprint Cadence: Weeks 4 – 7 | Release Baseline: v1.5.0-rc2</w:t>
        <w:br/>
      </w:r>
    </w:p>
    <w:p>
      <w:r>
        <w:rPr>
          <w:b/>
        </w:rPr>
        <w:t>Key Milestone Deliverables:</w:t>
        <w:br/>
      </w:r>
      <w:r>
        <w:t xml:space="preserve">  • Parent Purchase Order contract modeling with dynamic remaining balance tracking.</w:t>
        <w:br/>
      </w:r>
      <w:r>
        <w:t xml:space="preserve">  • Incremental multi-batch delivery ledger fulfilling parent contracts across multiple sourcing mills.</w:t>
        <w:br/>
      </w:r>
      <w:r>
        <w:t xml:space="preserve">  • Real-time volume variance calculation flagging shrinkage &gt; 1.0% with dispute banners.</w:t>
        <w:br/>
      </w:r>
      <w:r>
        <w:t xml:space="preserve">  • Multi-batch freight rate economics capturing trucking (₱/MT), barging (₱/MT), and vessel tracking.</w:t>
        <w:br/>
      </w:r>
      <w:r>
        <w:t xml:space="preserve">  • Strict over-delivery guard preventing dispatches exceeding remaining contracted volume.</w:t>
        <w:br/>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200" w:type="dxa"/>
              <w:right w:w="200" w:type="dxa"/>
            </w:tcMar>
            <w:tcBorders>
              <w:top w:val="none"/>
              <w:left w:val="single" w:sz="24" w:space="0" w:color="16A34A"/>
              <w:bottom w:val="none"/>
              <w:right w:val="none"/>
            </w:tcBorders>
          </w:tcPr>
          <w:p>
            <w:pPr>
              <w:spacing w:before="40" w:after="40"/>
            </w:pPr>
            <w:r>
              <w:rPr>
                <w:b/>
                <w:color w:val="1E3A8A"/>
                <w:sz w:val="19"/>
              </w:rPr>
              <w:t>TECHNICAL VERIFICATION &amp; QUALITY EVIDENCE</w:t>
              <w:br/>
            </w:r>
            <w:r>
              <w:rPr>
                <w:i/>
                <w:color w:val="334155"/>
                <w:sz w:val="18"/>
              </w:rPr>
              <w:t>18 Unit Tests Passed (100% pass rate). Over-delivery validation verified at model and API levels.</w:t>
            </w:r>
          </w:p>
        </w:tc>
      </w:tr>
    </w:tbl>
    <w:p>
      <w:pPr>
        <w:spacing w:after="40"/>
      </w:pPr>
    </w:p>
    <w:tbl>
      <w:tblPr>
        <w:tblW w:type="auto" w:w="0"/>
        <w:jc w:val="center"/>
        <w:tblLayout w:type="fixed"/>
        <w:tblLook w:firstColumn="1" w:firstRow="1" w:lastColumn="0" w:lastRow="0" w:noHBand="0" w:noVBand="1" w:val="04A0"/>
      </w:tblPr>
      <w:tblGrid>
        <w:gridCol w:w="5040"/>
        <w:gridCol w:w="5040"/>
      </w:tblGrid>
      <w:tr>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2563EB"/>
                <w:sz w:val="17"/>
              </w:rPr>
              <w:t>DEVELOPER SIGN-OFF: MILESTONE ACCEPTANCE</w:t>
              <w:br/>
            </w:r>
            <w:r>
              <w:t>Representative: Capstone Team</w:t>
              <w:br/>
            </w:r>
            <w:r>
              <w:t>Designation: Lead Full-Stack Developer</w:t>
              <w:br/>
              <w:br/>
            </w:r>
            <w:r>
              <w:t>Signature: ___________________________</w:t>
              <w:br/>
            </w:r>
            <w:r>
              <w:t>Date Signed: _____ / _____ / 2026</w:t>
            </w:r>
          </w:p>
        </w:tc>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166534"/>
                <w:sz w:val="17"/>
              </w:rPr>
              <w:t>CLIENT SIGN-OFF: CLIENT STAKEHOLDER ACCEPTANCE</w:t>
              <w:br/>
            </w:r>
            <w:r>
              <w:t>Representative: Heindrich Trading Corp.</w:t>
              <w:br/>
            </w:r>
            <w:r>
              <w:t>Designation: Head of Operations &amp; Dispatch</w:t>
              <w:br/>
              <w:br/>
            </w:r>
            <w:r>
              <w:t>Signature: ___________________________</w:t>
              <w:br/>
            </w:r>
            <w:r>
              <w:t>Date Signed: _____ / _____ / 2026</w:t>
            </w:r>
          </w:p>
        </w:tc>
      </w:tr>
    </w:tbl>
    <w:p>
      <w:pPr>
        <w:spacing w:after="160"/>
      </w:pPr>
    </w:p>
    <w:p>
      <w:pPr>
        <w:pStyle w:val="Heading2"/>
      </w:pPr>
      <w:r>
        <w:t>Milestone 3: Financial Treasury, Capital Loans &amp; Reconciliation</w:t>
      </w:r>
    </w:p>
    <w:p>
      <w:r>
        <w:rPr>
          <w:b/>
          <w:color w:val="1E3A8A"/>
        </w:rPr>
        <w:t>Sprint Cadence: Weeks 8 – 11 | Release Baseline: v2.0.0-rc1</w:t>
        <w:br/>
      </w:r>
    </w:p>
    <w:p>
      <w:r>
        <w:rPr>
          <w:b/>
        </w:rPr>
        <w:t>Key Milestone Deliverables:</w:t>
        <w:br/>
      </w:r>
      <w:r>
        <w:t xml:space="preserve">  • Capital sourcing loan facilities with dynamic daily interest accruals calculated from elapsed days.</w:t>
        <w:br/>
      </w:r>
      <w:r>
        <w:t xml:space="preserve">  • Dual-Authorization executive governance requiring admin verification to activate loan facilities.</w:t>
        <w:br/>
      </w:r>
      <w:r>
        <w:t xml:space="preserve">  • Suggestive customer invoicing engine deriving billing amounts from confirmed delivered metric tons (delivered_mt * selling_price).</w:t>
        <w:br/>
      </w:r>
      <w:r>
        <w:t xml:space="preserve">  • Cash expense vouchers across haulage, barging, milling, and operational categories.</w:t>
        <w:br/>
      </w:r>
      <w:r>
        <w:t xml:space="preserve">  • 3-Step Payment Reconciliation matching customer bank payments against vouchers and loan settlements.</w:t>
        <w:br/>
      </w:r>
      <w:r>
        <w:t xml:space="preserve">  • Role-based isolation blocking operations accounts from accessing loans and reconciliation workspaces.</w:t>
        <w:br/>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200" w:type="dxa"/>
              <w:right w:w="200" w:type="dxa"/>
            </w:tcMar>
            <w:tcBorders>
              <w:top w:val="none"/>
              <w:left w:val="single" w:sz="24" w:space="0" w:color="16A34A"/>
              <w:bottom w:val="none"/>
              <w:right w:val="none"/>
            </w:tcBorders>
          </w:tcPr>
          <w:p>
            <w:pPr>
              <w:spacing w:before="40" w:after="40"/>
            </w:pPr>
            <w:r>
              <w:rPr>
                <w:b/>
                <w:color w:val="1E3A8A"/>
                <w:sz w:val="19"/>
              </w:rPr>
              <w:t>TECHNICAL VERIFICATION &amp; QUALITY EVIDENCE</w:t>
              <w:br/>
            </w:r>
            <w:r>
              <w:rPr>
                <w:i/>
                <w:color w:val="334155"/>
                <w:sz w:val="18"/>
              </w:rPr>
              <w:t>22 Unit Tests Passed (100% pass rate). Financial interest formulas mathematically verified.</w:t>
            </w:r>
          </w:p>
        </w:tc>
      </w:tr>
    </w:tbl>
    <w:p>
      <w:pPr>
        <w:spacing w:after="40"/>
      </w:pPr>
    </w:p>
    <w:tbl>
      <w:tblPr>
        <w:tblW w:type="auto" w:w="0"/>
        <w:jc w:val="center"/>
        <w:tblLayout w:type="fixed"/>
        <w:tblLook w:firstColumn="1" w:firstRow="1" w:lastColumn="0" w:lastRow="0" w:noHBand="0" w:noVBand="1" w:val="04A0"/>
      </w:tblPr>
      <w:tblGrid>
        <w:gridCol w:w="5040"/>
        <w:gridCol w:w="5040"/>
      </w:tblGrid>
      <w:tr>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2563EB"/>
                <w:sz w:val="17"/>
              </w:rPr>
              <w:t>DEVELOPER SIGN-OFF: MILESTONE ACCEPTANCE</w:t>
              <w:br/>
            </w:r>
            <w:r>
              <w:t>Representative: Capstone Team</w:t>
              <w:br/>
            </w:r>
            <w:r>
              <w:t>Designation: Financial Systems Engineer</w:t>
              <w:br/>
              <w:br/>
            </w:r>
            <w:r>
              <w:t>Signature: ___________________________</w:t>
              <w:br/>
            </w:r>
            <w:r>
              <w:t>Date Signed: _____ / _____ / 2026</w:t>
            </w:r>
          </w:p>
        </w:tc>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166534"/>
                <w:sz w:val="17"/>
              </w:rPr>
              <w:t>CLIENT SIGN-OFF: CLIENT STAKEHOLDER ACCEPTANCE</w:t>
              <w:br/>
            </w:r>
            <w:r>
              <w:t>Representative: Heindrich Trading Corp.</w:t>
              <w:br/>
            </w:r>
            <w:r>
              <w:t>Designation: Chief Finance Officer</w:t>
              <w:br/>
              <w:br/>
            </w:r>
            <w:r>
              <w:t>Signature: ___________________________</w:t>
              <w:br/>
            </w:r>
            <w:r>
              <w:t>Date Signed: _____ / _____ / 2026</w:t>
            </w:r>
          </w:p>
        </w:tc>
      </w:tr>
    </w:tbl>
    <w:p>
      <w:pPr>
        <w:spacing w:after="160"/>
      </w:pPr>
    </w:p>
    <w:p>
      <w:pPr>
        <w:pStyle w:val="Heading2"/>
      </w:pPr>
      <w:r>
        <w:t>Milestone 4: Molasses Release Orders (MRO) &amp; Document AI OCR</w:t>
      </w:r>
    </w:p>
    <w:p>
      <w:r>
        <w:rPr>
          <w:b/>
          <w:color w:val="1E3A8A"/>
        </w:rPr>
        <w:t>Sprint Cadence: Weeks 12 – 14 | Release Baseline: v2.2.0-rc2</w:t>
        <w:br/>
      </w:r>
    </w:p>
    <w:p>
      <w:r>
        <w:rPr>
          <w:b/>
        </w:rPr>
        <w:t>Key Milestone Deliverables:</w:t>
        <w:br/>
      </w:r>
      <w:r>
        <w:t xml:space="preserve">  • Centralized Molasses Release Order ledger and cluster permit binding pipeline.</w:t>
        <w:br/>
      </w:r>
      <w:r>
        <w:t xml:space="preserve">  • AWS Textract Document AI OCR automated metadata extraction with confidence indicators.</w:t>
        <w:br/>
      </w:r>
      <w:r>
        <w:t xml:space="preserve">  • Method Chooser modal prompting users: Scanned Upload (OCR) vs. Manual Input vs. Existing Permit.</w:t>
        <w:br/>
      </w:r>
      <w:r>
        <w:t xml:space="preserve">  • PO View manual MRO input form matching HTC standard entry fields.</w:t>
        <w:br/>
      </w:r>
      <w:r>
        <w:t xml:space="preserve">  • Instant client-side supporting document live preview (&lt;iframe&gt; for PDF, &lt;img&gt; for images).</w:t>
        <w:br/>
      </w:r>
      <w:r>
        <w:t xml:space="preserve">  • In-page View Scan modal viewer allowing document inspection directly inside the PO detail view.</w:t>
        <w:br/>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200" w:type="dxa"/>
              <w:right w:w="200" w:type="dxa"/>
            </w:tcMar>
            <w:tcBorders>
              <w:top w:val="none"/>
              <w:left w:val="single" w:sz="24" w:space="0" w:color="16A34A"/>
              <w:bottom w:val="none"/>
              <w:right w:val="none"/>
            </w:tcBorders>
          </w:tcPr>
          <w:p>
            <w:pPr>
              <w:spacing w:before="40" w:after="40"/>
            </w:pPr>
            <w:r>
              <w:rPr>
                <w:b/>
                <w:color w:val="1E3A8A"/>
                <w:sz w:val="19"/>
              </w:rPr>
              <w:t>TECHNICAL VERIFICATION &amp; QUALITY EVIDENCE</w:t>
              <w:br/>
            </w:r>
            <w:r>
              <w:rPr>
                <w:i/>
                <w:color w:val="334155"/>
                <w:sz w:val="18"/>
              </w:rPr>
              <w:t>28 Unit Tests Passed (100% pass rate). Direct PO creation and supporting document preview verified.</w:t>
            </w:r>
          </w:p>
        </w:tc>
      </w:tr>
    </w:tbl>
    <w:p>
      <w:pPr>
        <w:spacing w:after="40"/>
      </w:pPr>
    </w:p>
    <w:tbl>
      <w:tblPr>
        <w:tblW w:type="auto" w:w="0"/>
        <w:jc w:val="center"/>
        <w:tblLayout w:type="fixed"/>
        <w:tblLook w:firstColumn="1" w:firstRow="1" w:lastColumn="0" w:lastRow="0" w:noHBand="0" w:noVBand="1" w:val="04A0"/>
      </w:tblPr>
      <w:tblGrid>
        <w:gridCol w:w="5040"/>
        <w:gridCol w:w="5040"/>
      </w:tblGrid>
      <w:tr>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2563EB"/>
                <w:sz w:val="17"/>
              </w:rPr>
              <w:t>DEVELOPER SIGN-OFF: MILESTONE ACCEPTANCE</w:t>
              <w:br/>
            </w:r>
            <w:r>
              <w:t>Representative: Capstone Team</w:t>
              <w:br/>
            </w:r>
            <w:r>
              <w:t>Designation: Full-Stack AI Specialist</w:t>
              <w:br/>
              <w:br/>
            </w:r>
            <w:r>
              <w:t>Signature: ___________________________</w:t>
              <w:br/>
            </w:r>
            <w:r>
              <w:t>Date Signed: _____ / _____ / 2026</w:t>
            </w:r>
          </w:p>
        </w:tc>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166534"/>
                <w:sz w:val="17"/>
              </w:rPr>
              <w:t>CLIENT SIGN-OFF: CLIENT STAKEHOLDER ACCEPTANCE</w:t>
              <w:br/>
            </w:r>
            <w:r>
              <w:t>Representative: Heindrich Trading Corp.</w:t>
              <w:br/>
            </w:r>
            <w:r>
              <w:t>Designation: Operations &amp; Logistics Lead</w:t>
              <w:br/>
              <w:br/>
            </w:r>
            <w:r>
              <w:t>Signature: ___________________________</w:t>
              <w:br/>
            </w:r>
            <w:r>
              <w:t>Date Signed: _____ / _____ / 2026</w:t>
            </w:r>
          </w:p>
        </w:tc>
      </w:tr>
    </w:tbl>
    <w:p>
      <w:pPr>
        <w:spacing w:after="160"/>
      </w:pPr>
    </w:p>
    <w:p>
      <w:pPr>
        <w:pStyle w:val="Heading2"/>
      </w:pPr>
      <w:r>
        <w:t>Milestone 5: Security Hardening, Elderly Usability &amp; AWS EC2 Deployment</w:t>
      </w:r>
    </w:p>
    <w:p>
      <w:r>
        <w:rPr>
          <w:b/>
          <w:color w:val="1E3A8A"/>
        </w:rPr>
        <w:t>Sprint Cadence: Weeks 15 – 16 | Release Baseline: v2.3.0-prod</w:t>
        <w:br/>
      </w:r>
    </w:p>
    <w:p>
      <w:r>
        <w:rPr>
          <w:b/>
        </w:rPr>
        <w:t>Key Milestone Deliverables:</w:t>
        <w:br/>
      </w:r>
      <w:r>
        <w:t xml:space="preserve">  • High-Legibility Elderly Usability Mode (A+) with 17px body base, 48px touch targets, and contrast scaling.</w:t>
        <w:br/>
      </w:r>
      <w:r>
        <w:t xml:space="preserve">  • HTC Copilot AI Assistant processing queries locally via scoped Django ORM execution.</w:t>
        <w:br/>
      </w:r>
      <w:r>
        <w:t xml:space="preserve">  • Immutable append-only audit trail logging user actions and entity state diffs.</w:t>
        <w:br/>
      </w:r>
      <w:r>
        <w:t xml:space="preserve">  • AWS EC2 production deployment (18.140.166.84) with Nginx SSL edge and automated deploy scripts.</w:t>
        <w:br/>
      </w:r>
      <w:r>
        <w:t xml:space="preserve">  • User Acceptance Testing (UAT) completed across 12 scripts with 100% pass rate and 4.8/5.0 score.</w:t>
        <w:br/>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200" w:type="dxa"/>
              <w:right w:w="200" w:type="dxa"/>
            </w:tcMar>
            <w:tcBorders>
              <w:top w:val="none"/>
              <w:left w:val="single" w:sz="24" w:space="0" w:color="16A34A"/>
              <w:bottom w:val="none"/>
              <w:right w:val="none"/>
            </w:tcBorders>
          </w:tcPr>
          <w:p>
            <w:pPr>
              <w:spacing w:before="40" w:after="40"/>
            </w:pPr>
            <w:r>
              <w:rPr>
                <w:b/>
                <w:color w:val="1E3A8A"/>
                <w:sz w:val="19"/>
              </w:rPr>
              <w:t>TECHNICAL VERIFICATION &amp; QUALITY EVIDENCE</w:t>
              <w:br/>
            </w:r>
            <w:r>
              <w:rPr>
                <w:i/>
                <w:color w:val="334155"/>
                <w:sz w:val="18"/>
              </w:rPr>
              <w:t>31 Unit Tests Passed (100% pass rate). Zero open Severity 1 or 2 defects. Live on https://htccore.tech/.</w:t>
            </w:r>
          </w:p>
        </w:tc>
      </w:tr>
    </w:tbl>
    <w:p>
      <w:pPr>
        <w:spacing w:after="40"/>
      </w:pPr>
    </w:p>
    <w:tbl>
      <w:tblPr>
        <w:tblW w:type="auto" w:w="0"/>
        <w:jc w:val="center"/>
        <w:tblLayout w:type="fixed"/>
        <w:tblLook w:firstColumn="1" w:firstRow="1" w:lastColumn="0" w:lastRow="0" w:noHBand="0" w:noVBand="1" w:val="04A0"/>
      </w:tblPr>
      <w:tblGrid>
        <w:gridCol w:w="5040"/>
        <w:gridCol w:w="5040"/>
      </w:tblGrid>
      <w:tr>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2563EB"/>
                <w:sz w:val="17"/>
              </w:rPr>
              <w:t>DEVELOPER SIGN-OFF: MILESTONE ACCEPTANCE</w:t>
              <w:br/>
            </w:r>
            <w:r>
              <w:t>Representative: Capstone Team</w:t>
              <w:br/>
            </w:r>
            <w:r>
              <w:t>Designation: DevOps &amp; Cloud Lead</w:t>
              <w:br/>
              <w:br/>
            </w:r>
            <w:r>
              <w:t>Signature: ___________________________</w:t>
              <w:br/>
            </w:r>
            <w:r>
              <w:t>Date Signed: _____ / _____ / 2026</w:t>
            </w:r>
          </w:p>
        </w:tc>
        <w:tc>
          <w:tcPr>
            <w:tcW w:type="dxa" w:w="4608"/>
            <w:shd w:fill="F8FAFC"/>
            <w:tcMar>
              <w:top w:w="140" w:type="dxa"/>
              <w:bottom w:w="140" w:type="dxa"/>
              <w:left w:w="160" w:type="dxa"/>
              <w:right w:w="160" w:type="dxa"/>
            </w:tcMar>
            <w:tcBorders>
              <w:top w:val="single" w:sz="6" w:color="CBD5E1"/>
              <w:left w:val="single" w:sz="6" w:color="CBD5E1"/>
              <w:bottom w:val="single" w:sz="6" w:color="CBD5E1"/>
              <w:right w:val="single" w:sz="6" w:color="CBD5E1"/>
            </w:tcBorders>
          </w:tcPr>
          <w:p>
            <w:pPr>
              <w:spacing w:after="40"/>
            </w:pPr>
            <w:r>
              <w:rPr>
                <w:b/>
                <w:color w:val="166534"/>
                <w:sz w:val="17"/>
              </w:rPr>
              <w:t>CLIENT SIGN-OFF: CLIENT STAKEHOLDER ACCEPTANCE</w:t>
              <w:br/>
            </w:r>
            <w:r>
              <w:t>Representative: Heindrich Trading Corp.</w:t>
              <w:br/>
            </w:r>
            <w:r>
              <w:t>Designation: President &amp; General Manager</w:t>
              <w:br/>
              <w:br/>
            </w:r>
            <w:r>
              <w:t>Signature: ___________________________</w:t>
              <w:br/>
            </w:r>
            <w:r>
              <w:t>Date Signed: _____ / _____ / 2026</w:t>
            </w:r>
          </w:p>
        </w:tc>
      </w:tr>
    </w:tbl>
    <w:p>
      <w:pPr>
        <w:spacing w:after="160"/>
      </w:pPr>
    </w:p>
    <w:p>
      <w:r>
        <w:br w:type="page"/>
      </w:r>
    </w:p>
    <w:p>
      <w:pPr>
        <w:pStyle w:val="Heading1"/>
      </w:pPr>
      <w:r>
        <w:t>Section III: Functional Requirements (Needs Specification)</w:t>
      </w:r>
    </w:p>
    <w:p>
      <w:r>
        <w:t>The following matrix outlines the complete, definitive functional requirements implemented within the HTC Core platform. Each requirement maps directly to production capabilities, domain models, and acceptance criteria.</w:t>
      </w:r>
    </w:p>
    <w:tbl>
      <w:tblPr>
        <w:tblW w:type="auto" w:w="0"/>
        <w:jc w:val="center"/>
        <w:tblLook w:firstColumn="1" w:firstRow="1" w:lastColumn="0" w:lastRow="0" w:noHBand="0" w:noVBand="1" w:val="04A0"/>
      </w:tblPr>
      <w:tblGrid>
        <w:gridCol w:w="2520"/>
        <w:gridCol w:w="2520"/>
        <w:gridCol w:w="2520"/>
        <w:gridCol w:w="2520"/>
      </w:tblGrid>
      <w:tr>
        <w:tc>
          <w:tcPr>
            <w:tcW w:type="dxa" w:w="1296"/>
            <w:shd w:fill="1E3A8A"/>
            <w:tcMar>
              <w:top w:w="120" w:type="dxa"/>
              <w:bottom w:w="120" w:type="dxa"/>
              <w:left w:w="150" w:type="dxa"/>
              <w:right w:w="150" w:type="dxa"/>
            </w:tcMar>
            <w:vAlign w:val="center"/>
          </w:tcPr>
          <w:p>
            <w:pPr>
              <w:jc w:val="left"/>
            </w:pPr>
            <w:r>
              <w:rPr>
                <w:b/>
                <w:color w:val="FFFFFF"/>
                <w:sz w:val="19"/>
              </w:rPr>
              <w:t>Req ID</w:t>
            </w:r>
          </w:p>
        </w:tc>
        <w:tc>
          <w:tcPr>
            <w:tcW w:type="dxa" w:w="2592"/>
            <w:shd w:fill="1E3A8A"/>
            <w:tcMar>
              <w:top w:w="120" w:type="dxa"/>
              <w:bottom w:w="120" w:type="dxa"/>
              <w:left w:w="150" w:type="dxa"/>
              <w:right w:w="150" w:type="dxa"/>
            </w:tcMar>
            <w:vAlign w:val="center"/>
          </w:tcPr>
          <w:p>
            <w:pPr>
              <w:jc w:val="left"/>
            </w:pPr>
            <w:r>
              <w:rPr>
                <w:b/>
                <w:color w:val="FFFFFF"/>
                <w:sz w:val="19"/>
              </w:rPr>
              <w:t>Functional Capability / Need</w:t>
            </w:r>
          </w:p>
        </w:tc>
        <w:tc>
          <w:tcPr>
            <w:tcW w:type="dxa" w:w="4320"/>
            <w:shd w:fill="1E3A8A"/>
            <w:tcMar>
              <w:top w:w="120" w:type="dxa"/>
              <w:bottom w:w="120" w:type="dxa"/>
              <w:left w:w="150" w:type="dxa"/>
              <w:right w:w="150" w:type="dxa"/>
            </w:tcMar>
            <w:vAlign w:val="center"/>
          </w:tcPr>
          <w:p>
            <w:pPr>
              <w:jc w:val="left"/>
            </w:pPr>
            <w:r>
              <w:rPr>
                <w:b/>
                <w:color w:val="FFFFFF"/>
                <w:sz w:val="19"/>
              </w:rPr>
              <w:t>Specification &amp; Business Logic</w:t>
            </w:r>
          </w:p>
        </w:tc>
        <w:tc>
          <w:tcPr>
            <w:tcW w:type="dxa" w:w="1584"/>
            <w:shd w:fill="1E3A8A"/>
            <w:tcMar>
              <w:top w:w="120" w:type="dxa"/>
              <w:bottom w:w="120" w:type="dxa"/>
              <w:left w:w="150" w:type="dxa"/>
              <w:right w:w="150" w:type="dxa"/>
            </w:tcMar>
            <w:vAlign w:val="center"/>
          </w:tcPr>
          <w:p>
            <w:pPr>
              <w:jc w:val="left"/>
            </w:pPr>
            <w:r>
              <w:rPr>
                <w:b/>
                <w:color w:val="FFFFFF"/>
                <w:sz w:val="19"/>
              </w:rPr>
              <w:t>Target Module</w:t>
            </w:r>
          </w:p>
        </w:tc>
      </w:tr>
      <w:tr>
        <w:tc>
          <w:tcPr>
            <w:tcW w:type="dxa" w:w="1296"/>
            <w:shd w:fill="FFFFFF"/>
            <w:tcMar>
              <w:top w:w="80" w:type="dxa"/>
              <w:bottom w:w="80" w:type="dxa"/>
              <w:left w:w="140" w:type="dxa"/>
              <w:right w:w="140" w:type="dxa"/>
            </w:tcMar>
            <w:vAlign w:val="center"/>
          </w:tcPr>
          <w:p>
            <w:r>
              <w:rPr>
                <w:color w:val="1E293B"/>
                <w:sz w:val="18"/>
              </w:rPr>
              <w:t>FR-01</w:t>
            </w:r>
          </w:p>
        </w:tc>
        <w:tc>
          <w:tcPr>
            <w:tcW w:type="dxa" w:w="2592"/>
            <w:shd w:fill="FFFFFF"/>
            <w:tcMar>
              <w:top w:w="80" w:type="dxa"/>
              <w:bottom w:w="80" w:type="dxa"/>
              <w:left w:w="140" w:type="dxa"/>
              <w:right w:w="140" w:type="dxa"/>
            </w:tcMar>
            <w:vAlign w:val="center"/>
          </w:tcPr>
          <w:p>
            <w:r>
              <w:rPr>
                <w:color w:val="1E293B"/>
                <w:sz w:val="18"/>
              </w:rPr>
              <w:t>User Approval Gating</w:t>
            </w:r>
          </w:p>
        </w:tc>
        <w:tc>
          <w:tcPr>
            <w:tcW w:type="dxa" w:w="4320"/>
            <w:shd w:fill="FFFFFF"/>
            <w:tcMar>
              <w:top w:w="80" w:type="dxa"/>
              <w:bottom w:w="80" w:type="dxa"/>
              <w:left w:w="140" w:type="dxa"/>
              <w:right w:w="140" w:type="dxa"/>
            </w:tcMar>
            <w:vAlign w:val="center"/>
          </w:tcPr>
          <w:p>
            <w:r>
              <w:rPr>
                <w:color w:val="1E293B"/>
                <w:sz w:val="18"/>
              </w:rPr>
              <w:t>New sign-ups are inactive by default; Administrator must explicitly approve and assign RBAC role before session login is permitted.</w:t>
            </w:r>
          </w:p>
        </w:tc>
        <w:tc>
          <w:tcPr>
            <w:tcW w:type="dxa" w:w="1584"/>
            <w:shd w:fill="FFFFFF"/>
            <w:tcMar>
              <w:top w:w="80" w:type="dxa"/>
              <w:bottom w:w="80" w:type="dxa"/>
              <w:left w:w="140" w:type="dxa"/>
              <w:right w:w="140" w:type="dxa"/>
            </w:tcMar>
            <w:vAlign w:val="center"/>
          </w:tcPr>
          <w:p>
            <w:r>
              <w:rPr>
                <w:color w:val="1E293B"/>
                <w:sz w:val="18"/>
              </w:rPr>
              <w:t>accounts</w:t>
            </w:r>
          </w:p>
        </w:tc>
      </w:tr>
      <w:tr>
        <w:tc>
          <w:tcPr>
            <w:tcW w:type="dxa" w:w="1296"/>
            <w:shd w:fill="F8FAFC"/>
            <w:tcMar>
              <w:top w:w="80" w:type="dxa"/>
              <w:bottom w:w="80" w:type="dxa"/>
              <w:left w:w="140" w:type="dxa"/>
              <w:right w:w="140" w:type="dxa"/>
            </w:tcMar>
            <w:vAlign w:val="center"/>
          </w:tcPr>
          <w:p>
            <w:r>
              <w:rPr>
                <w:color w:val="1E293B"/>
                <w:sz w:val="18"/>
              </w:rPr>
              <w:t>FR-02</w:t>
            </w:r>
          </w:p>
        </w:tc>
        <w:tc>
          <w:tcPr>
            <w:tcW w:type="dxa" w:w="2592"/>
            <w:shd w:fill="F8FAFC"/>
            <w:tcMar>
              <w:top w:w="80" w:type="dxa"/>
              <w:bottom w:w="80" w:type="dxa"/>
              <w:left w:w="140" w:type="dxa"/>
              <w:right w:w="140" w:type="dxa"/>
            </w:tcMar>
            <w:vAlign w:val="center"/>
          </w:tcPr>
          <w:p>
            <w:r>
              <w:rPr>
                <w:color w:val="1E293B"/>
                <w:sz w:val="18"/>
              </w:rPr>
              <w:t>TOTP 2FA Enforcement</w:t>
            </w:r>
          </w:p>
        </w:tc>
        <w:tc>
          <w:tcPr>
            <w:tcW w:type="dxa" w:w="4320"/>
            <w:shd w:fill="F8FAFC"/>
            <w:tcMar>
              <w:top w:w="80" w:type="dxa"/>
              <w:bottom w:w="80" w:type="dxa"/>
              <w:left w:w="140" w:type="dxa"/>
              <w:right w:w="140" w:type="dxa"/>
            </w:tcMar>
            <w:vAlign w:val="center"/>
          </w:tcPr>
          <w:p>
            <w:r>
              <w:rPr>
                <w:color w:val="1E293B"/>
                <w:sz w:val="18"/>
              </w:rPr>
              <w:t>RFC 6238 compliant TOTP Two-Factor Authentication with QR code setup, time-window verification, and 5 single-use emergency recovery codes.</w:t>
            </w:r>
          </w:p>
        </w:tc>
        <w:tc>
          <w:tcPr>
            <w:tcW w:type="dxa" w:w="1584"/>
            <w:shd w:fill="F8FAFC"/>
            <w:tcMar>
              <w:top w:w="80" w:type="dxa"/>
              <w:bottom w:w="80" w:type="dxa"/>
              <w:left w:w="140" w:type="dxa"/>
              <w:right w:w="140" w:type="dxa"/>
            </w:tcMar>
            <w:vAlign w:val="center"/>
          </w:tcPr>
          <w:p>
            <w:r>
              <w:rPr>
                <w:color w:val="1E293B"/>
                <w:sz w:val="18"/>
              </w:rPr>
              <w:t>accounts</w:t>
            </w:r>
          </w:p>
        </w:tc>
      </w:tr>
      <w:tr>
        <w:tc>
          <w:tcPr>
            <w:tcW w:type="dxa" w:w="1296"/>
            <w:shd w:fill="FFFFFF"/>
            <w:tcMar>
              <w:top w:w="80" w:type="dxa"/>
              <w:bottom w:w="80" w:type="dxa"/>
              <w:left w:w="140" w:type="dxa"/>
              <w:right w:w="140" w:type="dxa"/>
            </w:tcMar>
            <w:vAlign w:val="center"/>
          </w:tcPr>
          <w:p>
            <w:r>
              <w:rPr>
                <w:color w:val="1E293B"/>
                <w:sz w:val="18"/>
              </w:rPr>
              <w:t>FR-03</w:t>
            </w:r>
          </w:p>
        </w:tc>
        <w:tc>
          <w:tcPr>
            <w:tcW w:type="dxa" w:w="2592"/>
            <w:shd w:fill="FFFFFF"/>
            <w:tcMar>
              <w:top w:w="80" w:type="dxa"/>
              <w:bottom w:w="80" w:type="dxa"/>
              <w:left w:w="140" w:type="dxa"/>
              <w:right w:w="140" w:type="dxa"/>
            </w:tcMar>
            <w:vAlign w:val="center"/>
          </w:tcPr>
          <w:p>
            <w:r>
              <w:rPr>
                <w:color w:val="1E293B"/>
                <w:sz w:val="18"/>
              </w:rPr>
              <w:t>Master Data Directories</w:t>
            </w:r>
          </w:p>
        </w:tc>
        <w:tc>
          <w:tcPr>
            <w:tcW w:type="dxa" w:w="4320"/>
            <w:shd w:fill="FFFFFF"/>
            <w:tcMar>
              <w:top w:w="80" w:type="dxa"/>
              <w:bottom w:w="80" w:type="dxa"/>
              <w:left w:w="140" w:type="dxa"/>
              <w:right w:w="140" w:type="dxa"/>
            </w:tcMar>
            <w:vAlign w:val="center"/>
          </w:tcPr>
          <w:p>
            <w:r>
              <w:rPr>
                <w:color w:val="1E293B"/>
                <w:sz w:val="18"/>
              </w:rPr>
              <w:t>Full CRUD management for Clients, Sugar Mills, Planters, and Haulers with tax ID, active flags, and entity relationships.</w:t>
            </w:r>
          </w:p>
        </w:tc>
        <w:tc>
          <w:tcPr>
            <w:tcW w:type="dxa" w:w="1584"/>
            <w:shd w:fill="FFFFFF"/>
            <w:tcMar>
              <w:top w:w="80" w:type="dxa"/>
              <w:bottom w:w="80" w:type="dxa"/>
              <w:left w:w="140" w:type="dxa"/>
              <w:right w:w="140" w:type="dxa"/>
            </w:tcMar>
            <w:vAlign w:val="center"/>
          </w:tcPr>
          <w:p>
            <w:r>
              <w:rPr>
                <w:color w:val="1E293B"/>
                <w:sz w:val="18"/>
              </w:rPr>
              <w:t>masters</w:t>
            </w:r>
          </w:p>
        </w:tc>
      </w:tr>
      <w:tr>
        <w:tc>
          <w:tcPr>
            <w:tcW w:type="dxa" w:w="1296"/>
            <w:shd w:fill="F8FAFC"/>
            <w:tcMar>
              <w:top w:w="80" w:type="dxa"/>
              <w:bottom w:w="80" w:type="dxa"/>
              <w:left w:w="140" w:type="dxa"/>
              <w:right w:w="140" w:type="dxa"/>
            </w:tcMar>
            <w:vAlign w:val="center"/>
          </w:tcPr>
          <w:p>
            <w:r>
              <w:rPr>
                <w:color w:val="1E293B"/>
                <w:sz w:val="18"/>
              </w:rPr>
              <w:t>FR-04</w:t>
            </w:r>
          </w:p>
        </w:tc>
        <w:tc>
          <w:tcPr>
            <w:tcW w:type="dxa" w:w="2592"/>
            <w:shd w:fill="F8FAFC"/>
            <w:tcMar>
              <w:top w:w="80" w:type="dxa"/>
              <w:bottom w:w="80" w:type="dxa"/>
              <w:left w:w="140" w:type="dxa"/>
              <w:right w:w="140" w:type="dxa"/>
            </w:tcMar>
            <w:vAlign w:val="center"/>
          </w:tcPr>
          <w:p>
            <w:r>
              <w:rPr>
                <w:color w:val="1E293B"/>
                <w:sz w:val="18"/>
              </w:rPr>
              <w:t>Parent PO Contracts</w:t>
            </w:r>
          </w:p>
        </w:tc>
        <w:tc>
          <w:tcPr>
            <w:tcW w:type="dxa" w:w="4320"/>
            <w:shd w:fill="F8FAFC"/>
            <w:tcMar>
              <w:top w:w="80" w:type="dxa"/>
              <w:bottom w:w="80" w:type="dxa"/>
              <w:left w:w="140" w:type="dxa"/>
              <w:right w:w="140" w:type="dxa"/>
            </w:tcMar>
            <w:vAlign w:val="center"/>
          </w:tcPr>
          <w:p>
            <w:r>
              <w:rPr>
                <w:color w:val="1E293B"/>
                <w:sz w:val="18"/>
              </w:rPr>
              <w:t>Modeling of total contracted metric tons, customer, selling price, unit purchasing cost, and quality specs with real-time remaining balance calculation.</w:t>
            </w:r>
          </w:p>
        </w:tc>
        <w:tc>
          <w:tcPr>
            <w:tcW w:type="dxa" w:w="1584"/>
            <w:shd w:fill="F8FAFC"/>
            <w:tcMar>
              <w:top w:w="80" w:type="dxa"/>
              <w:bottom w:w="80" w:type="dxa"/>
              <w:left w:w="140" w:type="dxa"/>
              <w:right w:w="140" w:type="dxa"/>
            </w:tcMar>
            <w:vAlign w:val="center"/>
          </w:tcPr>
          <w:p>
            <w:r>
              <w:rPr>
                <w:color w:val="1E293B"/>
                <w:sz w:val="18"/>
              </w:rPr>
              <w:t>operations</w:t>
            </w:r>
          </w:p>
        </w:tc>
      </w:tr>
      <w:tr>
        <w:tc>
          <w:tcPr>
            <w:tcW w:type="dxa" w:w="1296"/>
            <w:shd w:fill="FFFFFF"/>
            <w:tcMar>
              <w:top w:w="80" w:type="dxa"/>
              <w:bottom w:w="80" w:type="dxa"/>
              <w:left w:w="140" w:type="dxa"/>
              <w:right w:w="140" w:type="dxa"/>
            </w:tcMar>
            <w:vAlign w:val="center"/>
          </w:tcPr>
          <w:p>
            <w:r>
              <w:rPr>
                <w:color w:val="1E293B"/>
                <w:sz w:val="18"/>
              </w:rPr>
              <w:t>FR-05</w:t>
            </w:r>
          </w:p>
        </w:tc>
        <w:tc>
          <w:tcPr>
            <w:tcW w:type="dxa" w:w="2592"/>
            <w:shd w:fill="FFFFFF"/>
            <w:tcMar>
              <w:top w:w="80" w:type="dxa"/>
              <w:bottom w:w="80" w:type="dxa"/>
              <w:left w:w="140" w:type="dxa"/>
              <w:right w:w="140" w:type="dxa"/>
            </w:tcMar>
            <w:vAlign w:val="center"/>
          </w:tcPr>
          <w:p>
            <w:r>
              <w:rPr>
                <w:color w:val="1E293B"/>
                <w:sz w:val="18"/>
              </w:rPr>
              <w:t>Multi-Source Sourcing Clusters</w:t>
            </w:r>
          </w:p>
        </w:tc>
        <w:tc>
          <w:tcPr>
            <w:tcW w:type="dxa" w:w="4320"/>
            <w:shd w:fill="FFFFFF"/>
            <w:tcMar>
              <w:top w:w="80" w:type="dxa"/>
              <w:bottom w:w="80" w:type="dxa"/>
              <w:left w:w="140" w:type="dxa"/>
              <w:right w:w="140" w:type="dxa"/>
            </w:tcMar>
            <w:vAlign w:val="center"/>
          </w:tcPr>
          <w:p>
            <w:r>
              <w:rPr>
                <w:color w:val="1E293B"/>
                <w:sz w:val="18"/>
              </w:rPr>
              <w:t>Sourcing transaction clusters linking PO demand to mill production, auto-generating sequential PO-YYYYMMDD-XXX reference numbers.</w:t>
            </w:r>
          </w:p>
        </w:tc>
        <w:tc>
          <w:tcPr>
            <w:tcW w:type="dxa" w:w="1584"/>
            <w:shd w:fill="FFFFFF"/>
            <w:tcMar>
              <w:top w:w="80" w:type="dxa"/>
              <w:bottom w:w="80" w:type="dxa"/>
              <w:left w:w="140" w:type="dxa"/>
              <w:right w:w="140" w:type="dxa"/>
            </w:tcMar>
            <w:vAlign w:val="center"/>
          </w:tcPr>
          <w:p>
            <w:r>
              <w:rPr>
                <w:color w:val="1E293B"/>
                <w:sz w:val="18"/>
              </w:rPr>
              <w:t>operations</w:t>
            </w:r>
          </w:p>
        </w:tc>
      </w:tr>
      <w:tr>
        <w:tc>
          <w:tcPr>
            <w:tcW w:type="dxa" w:w="1296"/>
            <w:shd w:fill="F8FAFC"/>
            <w:tcMar>
              <w:top w:w="80" w:type="dxa"/>
              <w:bottom w:w="80" w:type="dxa"/>
              <w:left w:w="140" w:type="dxa"/>
              <w:right w:w="140" w:type="dxa"/>
            </w:tcMar>
            <w:vAlign w:val="center"/>
          </w:tcPr>
          <w:p>
            <w:r>
              <w:rPr>
                <w:color w:val="1E293B"/>
                <w:sz w:val="18"/>
              </w:rPr>
              <w:t>FR-06</w:t>
            </w:r>
          </w:p>
        </w:tc>
        <w:tc>
          <w:tcPr>
            <w:tcW w:type="dxa" w:w="2592"/>
            <w:shd w:fill="F8FAFC"/>
            <w:tcMar>
              <w:top w:w="80" w:type="dxa"/>
              <w:bottom w:w="80" w:type="dxa"/>
              <w:left w:w="140" w:type="dxa"/>
              <w:right w:w="140" w:type="dxa"/>
            </w:tcMar>
            <w:vAlign w:val="center"/>
          </w:tcPr>
          <w:p>
            <w:r>
              <w:rPr>
                <w:color w:val="1E293B"/>
                <w:sz w:val="18"/>
              </w:rPr>
              <w:t>Incremental Delivery Ledger</w:t>
            </w:r>
          </w:p>
        </w:tc>
        <w:tc>
          <w:tcPr>
            <w:tcW w:type="dxa" w:w="4320"/>
            <w:shd w:fill="F8FAFC"/>
            <w:tcMar>
              <w:top w:w="80" w:type="dxa"/>
              <w:bottom w:w="80" w:type="dxa"/>
              <w:left w:w="140" w:type="dxa"/>
              <w:right w:w="140" w:type="dxa"/>
            </w:tcMar>
            <w:vAlign w:val="center"/>
          </w:tcPr>
          <w:p>
            <w:r>
              <w:rPr>
                <w:color w:val="1E293B"/>
                <w:sz w:val="18"/>
              </w:rPr>
              <w:t>Tracking partial delivery batches against an open PO, allowing dynamic selection of sourcing mills and client destinations per batch.</w:t>
            </w:r>
          </w:p>
        </w:tc>
        <w:tc>
          <w:tcPr>
            <w:tcW w:type="dxa" w:w="1584"/>
            <w:shd w:fill="F8FAFC"/>
            <w:tcMar>
              <w:top w:w="80" w:type="dxa"/>
              <w:bottom w:w="80" w:type="dxa"/>
              <w:left w:w="140" w:type="dxa"/>
              <w:right w:w="140" w:type="dxa"/>
            </w:tcMar>
            <w:vAlign w:val="center"/>
          </w:tcPr>
          <w:p>
            <w:r>
              <w:rPr>
                <w:color w:val="1E293B"/>
                <w:sz w:val="18"/>
              </w:rPr>
              <w:t>operations</w:t>
            </w:r>
          </w:p>
        </w:tc>
      </w:tr>
      <w:tr>
        <w:tc>
          <w:tcPr>
            <w:tcW w:type="dxa" w:w="1296"/>
            <w:shd w:fill="FFFFFF"/>
            <w:tcMar>
              <w:top w:w="80" w:type="dxa"/>
              <w:bottom w:w="80" w:type="dxa"/>
              <w:left w:w="140" w:type="dxa"/>
              <w:right w:w="140" w:type="dxa"/>
            </w:tcMar>
            <w:vAlign w:val="center"/>
          </w:tcPr>
          <w:p>
            <w:r>
              <w:rPr>
                <w:color w:val="1E293B"/>
                <w:sz w:val="18"/>
              </w:rPr>
              <w:t>FR-07</w:t>
            </w:r>
          </w:p>
        </w:tc>
        <w:tc>
          <w:tcPr>
            <w:tcW w:type="dxa" w:w="2592"/>
            <w:shd w:fill="FFFFFF"/>
            <w:tcMar>
              <w:top w:w="80" w:type="dxa"/>
              <w:bottom w:w="80" w:type="dxa"/>
              <w:left w:w="140" w:type="dxa"/>
              <w:right w:w="140" w:type="dxa"/>
            </w:tcMar>
            <w:vAlign w:val="center"/>
          </w:tcPr>
          <w:p>
            <w:r>
              <w:rPr>
                <w:color w:val="1E293B"/>
                <w:sz w:val="18"/>
              </w:rPr>
              <w:t>Over-Delivery Guard</w:t>
            </w:r>
          </w:p>
        </w:tc>
        <w:tc>
          <w:tcPr>
            <w:tcW w:type="dxa" w:w="4320"/>
            <w:shd w:fill="FFFFFF"/>
            <w:tcMar>
              <w:top w:w="80" w:type="dxa"/>
              <w:bottom w:w="80" w:type="dxa"/>
              <w:left w:w="140" w:type="dxa"/>
              <w:right w:w="140" w:type="dxa"/>
            </w:tcMar>
            <w:vAlign w:val="center"/>
          </w:tcPr>
          <w:p>
            <w:r>
              <w:rPr>
                <w:color w:val="1E293B"/>
                <w:sz w:val="18"/>
              </w:rPr>
              <w:t>Model-level and API validation rejecting any delivery batch whose volume exceeds remaining PO contracted volume (HTTP 400 error).</w:t>
            </w:r>
          </w:p>
        </w:tc>
        <w:tc>
          <w:tcPr>
            <w:tcW w:type="dxa" w:w="1584"/>
            <w:shd w:fill="FFFFFF"/>
            <w:tcMar>
              <w:top w:w="80" w:type="dxa"/>
              <w:bottom w:w="80" w:type="dxa"/>
              <w:left w:w="140" w:type="dxa"/>
              <w:right w:w="140" w:type="dxa"/>
            </w:tcMar>
            <w:vAlign w:val="center"/>
          </w:tcPr>
          <w:p>
            <w:r>
              <w:rPr>
                <w:color w:val="1E293B"/>
                <w:sz w:val="18"/>
              </w:rPr>
              <w:t>operations</w:t>
            </w:r>
          </w:p>
        </w:tc>
      </w:tr>
      <w:tr>
        <w:tc>
          <w:tcPr>
            <w:tcW w:type="dxa" w:w="1296"/>
            <w:shd w:fill="F8FAFC"/>
            <w:tcMar>
              <w:top w:w="80" w:type="dxa"/>
              <w:bottom w:w="80" w:type="dxa"/>
              <w:left w:w="140" w:type="dxa"/>
              <w:right w:w="140" w:type="dxa"/>
            </w:tcMar>
            <w:vAlign w:val="center"/>
          </w:tcPr>
          <w:p>
            <w:r>
              <w:rPr>
                <w:color w:val="1E293B"/>
                <w:sz w:val="18"/>
              </w:rPr>
              <w:t>FR-08</w:t>
            </w:r>
          </w:p>
        </w:tc>
        <w:tc>
          <w:tcPr>
            <w:tcW w:type="dxa" w:w="2592"/>
            <w:shd w:fill="F8FAFC"/>
            <w:tcMar>
              <w:top w:w="80" w:type="dxa"/>
              <w:bottom w:w="80" w:type="dxa"/>
              <w:left w:w="140" w:type="dxa"/>
              <w:right w:w="140" w:type="dxa"/>
            </w:tcMar>
            <w:vAlign w:val="center"/>
          </w:tcPr>
          <w:p>
            <w:r>
              <w:rPr>
                <w:color w:val="1E293B"/>
                <w:sz w:val="18"/>
              </w:rPr>
              <w:t>Multi-Batch Freight Economics</w:t>
            </w:r>
          </w:p>
        </w:tc>
        <w:tc>
          <w:tcPr>
            <w:tcW w:type="dxa" w:w="4320"/>
            <w:shd w:fill="F8FAFC"/>
            <w:tcMar>
              <w:top w:w="80" w:type="dxa"/>
              <w:bottom w:w="80" w:type="dxa"/>
              <w:left w:w="140" w:type="dxa"/>
              <w:right w:w="140" w:type="dxa"/>
            </w:tcMar>
            <w:vAlign w:val="center"/>
          </w:tcPr>
          <w:p>
            <w:r>
              <w:rPr>
                <w:color w:val="1E293B"/>
                <w:sz w:val="18"/>
              </w:rPr>
              <w:t>Capturing land trucking (₱/MT) and marine barging (₱/MT) rates, carriers, vessel names, and departure/arrival timestamps per batch.</w:t>
            </w:r>
          </w:p>
        </w:tc>
        <w:tc>
          <w:tcPr>
            <w:tcW w:type="dxa" w:w="1584"/>
            <w:shd w:fill="F8FAFC"/>
            <w:tcMar>
              <w:top w:w="80" w:type="dxa"/>
              <w:bottom w:w="80" w:type="dxa"/>
              <w:left w:w="140" w:type="dxa"/>
              <w:right w:w="140" w:type="dxa"/>
            </w:tcMar>
            <w:vAlign w:val="center"/>
          </w:tcPr>
          <w:p>
            <w:r>
              <w:rPr>
                <w:color w:val="1E293B"/>
                <w:sz w:val="18"/>
              </w:rPr>
              <w:t>operations</w:t>
            </w:r>
          </w:p>
        </w:tc>
      </w:tr>
      <w:tr>
        <w:tc>
          <w:tcPr>
            <w:tcW w:type="dxa" w:w="1296"/>
            <w:shd w:fill="FFFFFF"/>
            <w:tcMar>
              <w:top w:w="80" w:type="dxa"/>
              <w:bottom w:w="80" w:type="dxa"/>
              <w:left w:w="140" w:type="dxa"/>
              <w:right w:w="140" w:type="dxa"/>
            </w:tcMar>
            <w:vAlign w:val="center"/>
          </w:tcPr>
          <w:p>
            <w:r>
              <w:rPr>
                <w:color w:val="1E293B"/>
                <w:sz w:val="18"/>
              </w:rPr>
              <w:t>FR-09</w:t>
            </w:r>
          </w:p>
        </w:tc>
        <w:tc>
          <w:tcPr>
            <w:tcW w:type="dxa" w:w="2592"/>
            <w:shd w:fill="FFFFFF"/>
            <w:tcMar>
              <w:top w:w="80" w:type="dxa"/>
              <w:bottom w:w="80" w:type="dxa"/>
              <w:left w:w="140" w:type="dxa"/>
              <w:right w:w="140" w:type="dxa"/>
            </w:tcMar>
            <w:vAlign w:val="center"/>
          </w:tcPr>
          <w:p>
            <w:r>
              <w:rPr>
                <w:color w:val="1E293B"/>
                <w:sz w:val="18"/>
              </w:rPr>
              <w:t>1.0% Variance Shrinkage Alert</w:t>
            </w:r>
          </w:p>
        </w:tc>
        <w:tc>
          <w:tcPr>
            <w:tcW w:type="dxa" w:w="4320"/>
            <w:shd w:fill="FFFFFF"/>
            <w:tcMar>
              <w:top w:w="80" w:type="dxa"/>
              <w:bottom w:w="80" w:type="dxa"/>
              <w:left w:w="140" w:type="dxa"/>
              <w:right w:w="140" w:type="dxa"/>
            </w:tcMar>
            <w:vAlign w:val="center"/>
          </w:tcPr>
          <w:p>
            <w:r>
              <w:rPr>
                <w:color w:val="1E293B"/>
                <w:sz w:val="18"/>
              </w:rPr>
              <w:t>Automatic formula calculating (Loaded MT - Received MT) / Loaded MT * 100; triggering crimson warning and dispute flag when shrinkage exceeds 1.0%.</w:t>
            </w:r>
          </w:p>
        </w:tc>
        <w:tc>
          <w:tcPr>
            <w:tcW w:type="dxa" w:w="1584"/>
            <w:shd w:fill="FFFFFF"/>
            <w:tcMar>
              <w:top w:w="80" w:type="dxa"/>
              <w:bottom w:w="80" w:type="dxa"/>
              <w:left w:w="140" w:type="dxa"/>
              <w:right w:w="140" w:type="dxa"/>
            </w:tcMar>
            <w:vAlign w:val="center"/>
          </w:tcPr>
          <w:p>
            <w:r>
              <w:rPr>
                <w:color w:val="1E293B"/>
                <w:sz w:val="18"/>
              </w:rPr>
              <w:t>operations</w:t>
            </w:r>
          </w:p>
        </w:tc>
      </w:tr>
      <w:tr>
        <w:tc>
          <w:tcPr>
            <w:tcW w:type="dxa" w:w="1296"/>
            <w:shd w:fill="F8FAFC"/>
            <w:tcMar>
              <w:top w:w="80" w:type="dxa"/>
              <w:bottom w:w="80" w:type="dxa"/>
              <w:left w:w="140" w:type="dxa"/>
              <w:right w:w="140" w:type="dxa"/>
            </w:tcMar>
            <w:vAlign w:val="center"/>
          </w:tcPr>
          <w:p>
            <w:r>
              <w:rPr>
                <w:color w:val="1E293B"/>
                <w:sz w:val="18"/>
              </w:rPr>
              <w:t>FR-10</w:t>
            </w:r>
          </w:p>
        </w:tc>
        <w:tc>
          <w:tcPr>
            <w:tcW w:type="dxa" w:w="2592"/>
            <w:shd w:fill="F8FAFC"/>
            <w:tcMar>
              <w:top w:w="80" w:type="dxa"/>
              <w:bottom w:w="80" w:type="dxa"/>
              <w:left w:w="140" w:type="dxa"/>
              <w:right w:w="140" w:type="dxa"/>
            </w:tcMar>
            <w:vAlign w:val="center"/>
          </w:tcPr>
          <w:p>
            <w:r>
              <w:rPr>
                <w:color w:val="1E293B"/>
                <w:sz w:val="18"/>
              </w:rPr>
              <w:t>MRO Permitting &amp; Linking</w:t>
            </w:r>
          </w:p>
        </w:tc>
        <w:tc>
          <w:tcPr>
            <w:tcW w:type="dxa" w:w="4320"/>
            <w:shd w:fill="F8FAFC"/>
            <w:tcMar>
              <w:top w:w="80" w:type="dxa"/>
              <w:bottom w:w="80" w:type="dxa"/>
              <w:left w:w="140" w:type="dxa"/>
              <w:right w:w="140" w:type="dxa"/>
            </w:tcMar>
            <w:vAlign w:val="center"/>
          </w:tcPr>
          <w:p>
            <w:r>
              <w:rPr>
                <w:color w:val="1E293B"/>
                <w:sz w:val="18"/>
              </w:rPr>
              <w:t>Ledger tracking release permits, planters, and crop years; binding active permits to transaction clusters with volume allocation.</w:t>
            </w:r>
          </w:p>
        </w:tc>
        <w:tc>
          <w:tcPr>
            <w:tcW w:type="dxa" w:w="1584"/>
            <w:shd w:fill="F8FAFC"/>
            <w:tcMar>
              <w:top w:w="80" w:type="dxa"/>
              <w:bottom w:w="80" w:type="dxa"/>
              <w:left w:w="140" w:type="dxa"/>
              <w:right w:w="140" w:type="dxa"/>
            </w:tcMar>
            <w:vAlign w:val="center"/>
          </w:tcPr>
          <w:p>
            <w:r>
              <w:rPr>
                <w:color w:val="1E293B"/>
                <w:sz w:val="18"/>
              </w:rPr>
              <w:t>operations</w:t>
            </w:r>
          </w:p>
        </w:tc>
      </w:tr>
      <w:tr>
        <w:tc>
          <w:tcPr>
            <w:tcW w:type="dxa" w:w="1296"/>
            <w:shd w:fill="FFFFFF"/>
            <w:tcMar>
              <w:top w:w="80" w:type="dxa"/>
              <w:bottom w:w="80" w:type="dxa"/>
              <w:left w:w="140" w:type="dxa"/>
              <w:right w:w="140" w:type="dxa"/>
            </w:tcMar>
            <w:vAlign w:val="center"/>
          </w:tcPr>
          <w:p>
            <w:r>
              <w:rPr>
                <w:color w:val="1E293B"/>
                <w:sz w:val="18"/>
              </w:rPr>
              <w:t>FR-11</w:t>
            </w:r>
          </w:p>
        </w:tc>
        <w:tc>
          <w:tcPr>
            <w:tcW w:type="dxa" w:w="2592"/>
            <w:shd w:fill="FFFFFF"/>
            <w:tcMar>
              <w:top w:w="80" w:type="dxa"/>
              <w:bottom w:w="80" w:type="dxa"/>
              <w:left w:w="140" w:type="dxa"/>
              <w:right w:w="140" w:type="dxa"/>
            </w:tcMar>
            <w:vAlign w:val="center"/>
          </w:tcPr>
          <w:p>
            <w:r>
              <w:rPr>
                <w:color w:val="1E293B"/>
                <w:sz w:val="18"/>
              </w:rPr>
              <w:t>AWS Textract Document AI OCR</w:t>
            </w:r>
          </w:p>
        </w:tc>
        <w:tc>
          <w:tcPr>
            <w:tcW w:type="dxa" w:w="4320"/>
            <w:shd w:fill="FFFFFF"/>
            <w:tcMar>
              <w:top w:w="80" w:type="dxa"/>
              <w:bottom w:w="80" w:type="dxa"/>
              <w:left w:w="140" w:type="dxa"/>
              <w:right w:w="140" w:type="dxa"/>
            </w:tcMar>
            <w:vAlign w:val="center"/>
          </w:tcPr>
          <w:p>
            <w:r>
              <w:rPr>
                <w:color w:val="1E293B"/>
                <w:sz w:val="18"/>
              </w:rPr>
              <w:t>Automated document parsing for uploaded permit PDF/images, returning structured metadata with per-field confidence scores.</w:t>
            </w:r>
          </w:p>
        </w:tc>
        <w:tc>
          <w:tcPr>
            <w:tcW w:type="dxa" w:w="1584"/>
            <w:shd w:fill="FFFFFF"/>
            <w:tcMar>
              <w:top w:w="80" w:type="dxa"/>
              <w:bottom w:w="80" w:type="dxa"/>
              <w:left w:w="140" w:type="dxa"/>
              <w:right w:w="140" w:type="dxa"/>
            </w:tcMar>
            <w:vAlign w:val="center"/>
          </w:tcPr>
          <w:p>
            <w:r>
              <w:rPr>
                <w:color w:val="1E293B"/>
                <w:sz w:val="18"/>
              </w:rPr>
              <w:t>operations</w:t>
            </w:r>
          </w:p>
        </w:tc>
      </w:tr>
      <w:tr>
        <w:tc>
          <w:tcPr>
            <w:tcW w:type="dxa" w:w="1296"/>
            <w:shd w:fill="F8FAFC"/>
            <w:tcMar>
              <w:top w:w="80" w:type="dxa"/>
              <w:bottom w:w="80" w:type="dxa"/>
              <w:left w:w="140" w:type="dxa"/>
              <w:right w:w="140" w:type="dxa"/>
            </w:tcMar>
            <w:vAlign w:val="center"/>
          </w:tcPr>
          <w:p>
            <w:r>
              <w:rPr>
                <w:color w:val="1E293B"/>
                <w:sz w:val="18"/>
              </w:rPr>
              <w:t>FR-12</w:t>
            </w:r>
          </w:p>
        </w:tc>
        <w:tc>
          <w:tcPr>
            <w:tcW w:type="dxa" w:w="2592"/>
            <w:shd w:fill="F8FAFC"/>
            <w:tcMar>
              <w:top w:w="80" w:type="dxa"/>
              <w:bottom w:w="80" w:type="dxa"/>
              <w:left w:w="140" w:type="dxa"/>
              <w:right w:w="140" w:type="dxa"/>
            </w:tcMar>
            <w:vAlign w:val="center"/>
          </w:tcPr>
          <w:p>
            <w:r>
              <w:rPr>
                <w:color w:val="1E293B"/>
                <w:sz w:val="18"/>
              </w:rPr>
              <w:t>PO View MRO Manual Entry &amp; Preview</w:t>
            </w:r>
          </w:p>
        </w:tc>
        <w:tc>
          <w:tcPr>
            <w:tcW w:type="dxa" w:w="4320"/>
            <w:shd w:fill="F8FAFC"/>
            <w:tcMar>
              <w:top w:w="80" w:type="dxa"/>
              <w:bottom w:w="80" w:type="dxa"/>
              <w:left w:w="140" w:type="dxa"/>
              <w:right w:w="140" w:type="dxa"/>
            </w:tcMar>
            <w:vAlign w:val="center"/>
          </w:tcPr>
          <w:p>
            <w:r>
              <w:rPr>
                <w:color w:val="1E293B"/>
                <w:sz w:val="18"/>
              </w:rPr>
              <w:t>Creating MROs directly from PO view with standard fields, supporting scan upload, instant live preview (iframe/img), and in-page modal viewer.</w:t>
            </w:r>
          </w:p>
        </w:tc>
        <w:tc>
          <w:tcPr>
            <w:tcW w:type="dxa" w:w="1584"/>
            <w:shd w:fill="F8FAFC"/>
            <w:tcMar>
              <w:top w:w="80" w:type="dxa"/>
              <w:bottom w:w="80" w:type="dxa"/>
              <w:left w:w="140" w:type="dxa"/>
              <w:right w:w="140" w:type="dxa"/>
            </w:tcMar>
            <w:vAlign w:val="center"/>
          </w:tcPr>
          <w:p>
            <w:r>
              <w:rPr>
                <w:color w:val="1E293B"/>
                <w:sz w:val="18"/>
              </w:rPr>
              <w:t>operations</w:t>
            </w:r>
          </w:p>
        </w:tc>
      </w:tr>
      <w:tr>
        <w:tc>
          <w:tcPr>
            <w:tcW w:type="dxa" w:w="1296"/>
            <w:shd w:fill="FFFFFF"/>
            <w:tcMar>
              <w:top w:w="80" w:type="dxa"/>
              <w:bottom w:w="80" w:type="dxa"/>
              <w:left w:w="140" w:type="dxa"/>
              <w:right w:w="140" w:type="dxa"/>
            </w:tcMar>
            <w:vAlign w:val="center"/>
          </w:tcPr>
          <w:p>
            <w:r>
              <w:rPr>
                <w:color w:val="1E293B"/>
                <w:sz w:val="18"/>
              </w:rPr>
              <w:t>FR-13</w:t>
            </w:r>
          </w:p>
        </w:tc>
        <w:tc>
          <w:tcPr>
            <w:tcW w:type="dxa" w:w="2592"/>
            <w:shd w:fill="FFFFFF"/>
            <w:tcMar>
              <w:top w:w="80" w:type="dxa"/>
              <w:bottom w:w="80" w:type="dxa"/>
              <w:left w:w="140" w:type="dxa"/>
              <w:right w:w="140" w:type="dxa"/>
            </w:tcMar>
            <w:vAlign w:val="center"/>
          </w:tcPr>
          <w:p>
            <w:r>
              <w:rPr>
                <w:color w:val="1E293B"/>
                <w:sz w:val="18"/>
              </w:rPr>
              <w:t>Capital Loans &amp; Daily Accrual</w:t>
            </w:r>
          </w:p>
        </w:tc>
        <w:tc>
          <w:tcPr>
            <w:tcW w:type="dxa" w:w="4320"/>
            <w:shd w:fill="FFFFFF"/>
            <w:tcMar>
              <w:top w:w="80" w:type="dxa"/>
              <w:bottom w:w="80" w:type="dxa"/>
              <w:left w:w="140" w:type="dxa"/>
              <w:right w:w="140" w:type="dxa"/>
            </w:tcMar>
            <w:vAlign w:val="center"/>
          </w:tcPr>
          <w:p>
            <w:r>
              <w:rPr>
                <w:color w:val="1E293B"/>
                <w:sz w:val="18"/>
              </w:rPr>
              <w:t>Tracking capital sourcing loans with principal, APR, release date, and daily dynamic accrued interest: Principal * (APR/100) * (Days/365).</w:t>
            </w:r>
          </w:p>
        </w:tc>
        <w:tc>
          <w:tcPr>
            <w:tcW w:type="dxa" w:w="1584"/>
            <w:shd w:fill="FFFFFF"/>
            <w:tcMar>
              <w:top w:w="80" w:type="dxa"/>
              <w:bottom w:w="80" w:type="dxa"/>
              <w:left w:w="140" w:type="dxa"/>
              <w:right w:w="140" w:type="dxa"/>
            </w:tcMar>
            <w:vAlign w:val="center"/>
          </w:tcPr>
          <w:p>
            <w:r>
              <w:rPr>
                <w:color w:val="1E293B"/>
                <w:sz w:val="18"/>
              </w:rPr>
              <w:t>finance</w:t>
            </w:r>
          </w:p>
        </w:tc>
      </w:tr>
      <w:tr>
        <w:tc>
          <w:tcPr>
            <w:tcW w:type="dxa" w:w="1296"/>
            <w:shd w:fill="F8FAFC"/>
            <w:tcMar>
              <w:top w:w="80" w:type="dxa"/>
              <w:bottom w:w="80" w:type="dxa"/>
              <w:left w:w="140" w:type="dxa"/>
              <w:right w:w="140" w:type="dxa"/>
            </w:tcMar>
            <w:vAlign w:val="center"/>
          </w:tcPr>
          <w:p>
            <w:r>
              <w:rPr>
                <w:color w:val="1E293B"/>
                <w:sz w:val="18"/>
              </w:rPr>
              <w:t>FR-14</w:t>
            </w:r>
          </w:p>
        </w:tc>
        <w:tc>
          <w:tcPr>
            <w:tcW w:type="dxa" w:w="2592"/>
            <w:shd w:fill="F8FAFC"/>
            <w:tcMar>
              <w:top w:w="80" w:type="dxa"/>
              <w:bottom w:w="80" w:type="dxa"/>
              <w:left w:w="140" w:type="dxa"/>
              <w:right w:w="140" w:type="dxa"/>
            </w:tcMar>
            <w:vAlign w:val="center"/>
          </w:tcPr>
          <w:p>
            <w:r>
              <w:rPr>
                <w:color w:val="1E293B"/>
                <w:sz w:val="18"/>
              </w:rPr>
              <w:t>Dual-Authorization Loan Gate</w:t>
            </w:r>
          </w:p>
        </w:tc>
        <w:tc>
          <w:tcPr>
            <w:tcW w:type="dxa" w:w="4320"/>
            <w:shd w:fill="F8FAFC"/>
            <w:tcMar>
              <w:top w:w="80" w:type="dxa"/>
              <w:bottom w:w="80" w:type="dxa"/>
              <w:left w:w="140" w:type="dxa"/>
              <w:right w:w="140" w:type="dxa"/>
            </w:tcMar>
            <w:vAlign w:val="center"/>
          </w:tcPr>
          <w:p>
            <w:r>
              <w:rPr>
                <w:color w:val="1E293B"/>
                <w:sz w:val="18"/>
              </w:rPr>
              <w:t>Loan facility activation requires secondary administrative verification before funds are marked active and usable.</w:t>
            </w:r>
          </w:p>
        </w:tc>
        <w:tc>
          <w:tcPr>
            <w:tcW w:type="dxa" w:w="1584"/>
            <w:shd w:fill="F8FAFC"/>
            <w:tcMar>
              <w:top w:w="80" w:type="dxa"/>
              <w:bottom w:w="80" w:type="dxa"/>
              <w:left w:w="140" w:type="dxa"/>
              <w:right w:w="140" w:type="dxa"/>
            </w:tcMar>
            <w:vAlign w:val="center"/>
          </w:tcPr>
          <w:p>
            <w:r>
              <w:rPr>
                <w:color w:val="1E293B"/>
                <w:sz w:val="18"/>
              </w:rPr>
              <w:t>finance</w:t>
            </w:r>
          </w:p>
        </w:tc>
      </w:tr>
      <w:tr>
        <w:tc>
          <w:tcPr>
            <w:tcW w:type="dxa" w:w="1296"/>
            <w:shd w:fill="FFFFFF"/>
            <w:tcMar>
              <w:top w:w="80" w:type="dxa"/>
              <w:bottom w:w="80" w:type="dxa"/>
              <w:left w:w="140" w:type="dxa"/>
              <w:right w:w="140" w:type="dxa"/>
            </w:tcMar>
            <w:vAlign w:val="center"/>
          </w:tcPr>
          <w:p>
            <w:r>
              <w:rPr>
                <w:color w:val="1E293B"/>
                <w:sz w:val="18"/>
              </w:rPr>
              <w:t>FR-15</w:t>
            </w:r>
          </w:p>
        </w:tc>
        <w:tc>
          <w:tcPr>
            <w:tcW w:type="dxa" w:w="2592"/>
            <w:shd w:fill="FFFFFF"/>
            <w:tcMar>
              <w:top w:w="80" w:type="dxa"/>
              <w:bottom w:w="80" w:type="dxa"/>
              <w:left w:w="140" w:type="dxa"/>
              <w:right w:w="140" w:type="dxa"/>
            </w:tcMar>
            <w:vAlign w:val="center"/>
          </w:tcPr>
          <w:p>
            <w:r>
              <w:rPr>
                <w:color w:val="1E293B"/>
                <w:sz w:val="18"/>
              </w:rPr>
              <w:t>Suggestive Customer Invoicing</w:t>
            </w:r>
          </w:p>
        </w:tc>
        <w:tc>
          <w:tcPr>
            <w:tcW w:type="dxa" w:w="4320"/>
            <w:shd w:fill="FFFFFF"/>
            <w:tcMar>
              <w:top w:w="80" w:type="dxa"/>
              <w:bottom w:w="80" w:type="dxa"/>
              <w:left w:w="140" w:type="dxa"/>
              <w:right w:w="140" w:type="dxa"/>
            </w:tcMar>
            <w:vAlign w:val="center"/>
          </w:tcPr>
          <w:p>
            <w:r>
              <w:rPr>
                <w:color w:val="1E293B"/>
                <w:sz w:val="18"/>
              </w:rPr>
              <w:t>Auto-calculation of customer billing derived from confirmed delivered volume: total_delivered_mt * selling_price.</w:t>
            </w:r>
          </w:p>
        </w:tc>
        <w:tc>
          <w:tcPr>
            <w:tcW w:type="dxa" w:w="1584"/>
            <w:shd w:fill="FFFFFF"/>
            <w:tcMar>
              <w:top w:w="80" w:type="dxa"/>
              <w:bottom w:w="80" w:type="dxa"/>
              <w:left w:w="140" w:type="dxa"/>
              <w:right w:w="140" w:type="dxa"/>
            </w:tcMar>
            <w:vAlign w:val="center"/>
          </w:tcPr>
          <w:p>
            <w:r>
              <w:rPr>
                <w:color w:val="1E293B"/>
                <w:sz w:val="18"/>
              </w:rPr>
              <w:t>finance</w:t>
            </w:r>
          </w:p>
        </w:tc>
      </w:tr>
    </w:tbl>
    <w:p>
      <w:r>
        <w:br w:type="page"/>
      </w:r>
    </w:p>
    <w:p>
      <w:pPr>
        <w:pStyle w:val="Heading1"/>
      </w:pPr>
      <w:r>
        <w:t>Section IV: Non-Functional Requirements (Quality Attributes)</w:t>
      </w:r>
    </w:p>
    <w:p>
      <w:r>
        <w:t>Non-functional requirements specify architectural constraints, security standards, performance benchmarks, and usability criteria enforced across the system.</w:t>
      </w:r>
    </w:p>
    <w:tbl>
      <w:tblPr>
        <w:tblW w:type="auto" w:w="0"/>
        <w:jc w:val="center"/>
        <w:tblLook w:firstColumn="1" w:firstRow="1" w:lastColumn="0" w:lastRow="0" w:noHBand="0" w:noVBand="1" w:val="04A0"/>
      </w:tblPr>
      <w:tblGrid>
        <w:gridCol w:w="2520"/>
        <w:gridCol w:w="2520"/>
        <w:gridCol w:w="2520"/>
        <w:gridCol w:w="2520"/>
      </w:tblGrid>
      <w:tr>
        <w:tc>
          <w:tcPr>
            <w:tcW w:type="dxa" w:w="1296"/>
            <w:shd w:fill="1E3A8A"/>
            <w:tcMar>
              <w:top w:w="120" w:type="dxa"/>
              <w:bottom w:w="120" w:type="dxa"/>
              <w:left w:w="150" w:type="dxa"/>
              <w:right w:w="150" w:type="dxa"/>
            </w:tcMar>
            <w:vAlign w:val="center"/>
          </w:tcPr>
          <w:p>
            <w:pPr>
              <w:jc w:val="left"/>
            </w:pPr>
            <w:r>
              <w:rPr>
                <w:b/>
                <w:color w:val="FFFFFF"/>
                <w:sz w:val="19"/>
              </w:rPr>
              <w:t>Req ID</w:t>
            </w:r>
          </w:p>
        </w:tc>
        <w:tc>
          <w:tcPr>
            <w:tcW w:type="dxa" w:w="2160"/>
            <w:shd w:fill="1E3A8A"/>
            <w:tcMar>
              <w:top w:w="120" w:type="dxa"/>
              <w:bottom w:w="120" w:type="dxa"/>
              <w:left w:w="150" w:type="dxa"/>
              <w:right w:w="150" w:type="dxa"/>
            </w:tcMar>
            <w:vAlign w:val="center"/>
          </w:tcPr>
          <w:p>
            <w:pPr>
              <w:jc w:val="left"/>
            </w:pPr>
            <w:r>
              <w:rPr>
                <w:b/>
                <w:color w:val="FFFFFF"/>
                <w:sz w:val="19"/>
              </w:rPr>
              <w:t>Attribute Domain</w:t>
            </w:r>
          </w:p>
        </w:tc>
        <w:tc>
          <w:tcPr>
            <w:tcW w:type="dxa" w:w="4608"/>
            <w:shd w:fill="1E3A8A"/>
            <w:tcMar>
              <w:top w:w="120" w:type="dxa"/>
              <w:bottom w:w="120" w:type="dxa"/>
              <w:left w:w="150" w:type="dxa"/>
              <w:right w:w="150" w:type="dxa"/>
            </w:tcMar>
            <w:vAlign w:val="center"/>
          </w:tcPr>
          <w:p>
            <w:pPr>
              <w:jc w:val="left"/>
            </w:pPr>
            <w:r>
              <w:rPr>
                <w:b/>
                <w:color w:val="FFFFFF"/>
                <w:sz w:val="19"/>
              </w:rPr>
              <w:t>Quality Standard / Architecture Constraint</w:t>
            </w:r>
          </w:p>
        </w:tc>
        <w:tc>
          <w:tcPr>
            <w:tcW w:type="dxa" w:w="1728"/>
            <w:shd w:fill="1E3A8A"/>
            <w:tcMar>
              <w:top w:w="120" w:type="dxa"/>
              <w:bottom w:w="120" w:type="dxa"/>
              <w:left w:w="150" w:type="dxa"/>
              <w:right w:w="150" w:type="dxa"/>
            </w:tcMar>
            <w:vAlign w:val="center"/>
          </w:tcPr>
          <w:p>
            <w:pPr>
              <w:jc w:val="left"/>
            </w:pPr>
            <w:r>
              <w:rPr>
                <w:b/>
                <w:color w:val="FFFFFF"/>
                <w:sz w:val="19"/>
              </w:rPr>
              <w:t>Verification Method</w:t>
            </w:r>
          </w:p>
        </w:tc>
      </w:tr>
      <w:tr>
        <w:tc>
          <w:tcPr>
            <w:tcW w:type="dxa" w:w="1296"/>
            <w:shd w:fill="FFFFFF"/>
            <w:tcMar>
              <w:top w:w="80" w:type="dxa"/>
              <w:bottom w:w="80" w:type="dxa"/>
              <w:left w:w="140" w:type="dxa"/>
              <w:right w:w="140" w:type="dxa"/>
            </w:tcMar>
            <w:vAlign w:val="center"/>
          </w:tcPr>
          <w:p>
            <w:r>
              <w:rPr>
                <w:color w:val="1E293B"/>
                <w:sz w:val="18"/>
              </w:rPr>
              <w:t>NFR-01</w:t>
            </w:r>
          </w:p>
        </w:tc>
        <w:tc>
          <w:tcPr>
            <w:tcW w:type="dxa" w:w="2160"/>
            <w:shd w:fill="FFFFFF"/>
            <w:tcMar>
              <w:top w:w="80" w:type="dxa"/>
              <w:bottom w:w="80" w:type="dxa"/>
              <w:left w:w="140" w:type="dxa"/>
              <w:right w:w="140" w:type="dxa"/>
            </w:tcMar>
            <w:vAlign w:val="center"/>
          </w:tcPr>
          <w:p>
            <w:r>
              <w:rPr>
                <w:color w:val="1E293B"/>
                <w:sz w:val="18"/>
              </w:rPr>
              <w:t>Performance &amp; Latency</w:t>
            </w:r>
          </w:p>
        </w:tc>
        <w:tc>
          <w:tcPr>
            <w:tcW w:type="dxa" w:w="4608"/>
            <w:shd w:fill="FFFFFF"/>
            <w:tcMar>
              <w:top w:w="80" w:type="dxa"/>
              <w:bottom w:w="80" w:type="dxa"/>
              <w:left w:w="140" w:type="dxa"/>
              <w:right w:w="140" w:type="dxa"/>
            </w:tcMar>
            <w:vAlign w:val="center"/>
          </w:tcPr>
          <w:p>
            <w:r>
              <w:rPr>
                <w:color w:val="1E293B"/>
                <w:sz w:val="18"/>
              </w:rPr>
              <w:t>Core operational pages load within 1.2 seconds; database queries optimized with select_related executing in fewer than 15 queries.</w:t>
            </w:r>
          </w:p>
        </w:tc>
        <w:tc>
          <w:tcPr>
            <w:tcW w:type="dxa" w:w="1728"/>
            <w:shd w:fill="FFFFFF"/>
            <w:tcMar>
              <w:top w:w="80" w:type="dxa"/>
              <w:bottom w:w="80" w:type="dxa"/>
              <w:left w:w="140" w:type="dxa"/>
              <w:right w:w="140" w:type="dxa"/>
            </w:tcMar>
            <w:vAlign w:val="center"/>
          </w:tcPr>
          <w:p>
            <w:r>
              <w:rPr>
                <w:color w:val="1E293B"/>
                <w:sz w:val="18"/>
              </w:rPr>
              <w:t>Load Testing / APM</w:t>
            </w:r>
          </w:p>
        </w:tc>
      </w:tr>
      <w:tr>
        <w:tc>
          <w:tcPr>
            <w:tcW w:type="dxa" w:w="1296"/>
            <w:shd w:fill="F8FAFC"/>
            <w:tcMar>
              <w:top w:w="80" w:type="dxa"/>
              <w:bottom w:w="80" w:type="dxa"/>
              <w:left w:w="140" w:type="dxa"/>
              <w:right w:w="140" w:type="dxa"/>
            </w:tcMar>
            <w:vAlign w:val="center"/>
          </w:tcPr>
          <w:p>
            <w:r>
              <w:rPr>
                <w:color w:val="1E293B"/>
                <w:sz w:val="18"/>
              </w:rPr>
              <w:t>NFR-02</w:t>
            </w:r>
          </w:p>
        </w:tc>
        <w:tc>
          <w:tcPr>
            <w:tcW w:type="dxa" w:w="2160"/>
            <w:shd w:fill="F8FAFC"/>
            <w:tcMar>
              <w:top w:w="80" w:type="dxa"/>
              <w:bottom w:w="80" w:type="dxa"/>
              <w:left w:w="140" w:type="dxa"/>
              <w:right w:w="140" w:type="dxa"/>
            </w:tcMar>
            <w:vAlign w:val="center"/>
          </w:tcPr>
          <w:p>
            <w:r>
              <w:rPr>
                <w:color w:val="1E293B"/>
                <w:sz w:val="18"/>
              </w:rPr>
              <w:t>Asynchronous Offloading</w:t>
            </w:r>
          </w:p>
        </w:tc>
        <w:tc>
          <w:tcPr>
            <w:tcW w:type="dxa" w:w="4608"/>
            <w:shd w:fill="F8FAFC"/>
            <w:tcMar>
              <w:top w:w="80" w:type="dxa"/>
              <w:bottom w:w="80" w:type="dxa"/>
              <w:left w:w="140" w:type="dxa"/>
              <w:right w:w="140" w:type="dxa"/>
            </w:tcMar>
            <w:vAlign w:val="center"/>
          </w:tcPr>
          <w:p>
            <w:r>
              <w:rPr>
                <w:color w:val="1E293B"/>
                <w:sz w:val="18"/>
              </w:rPr>
              <w:t>CPU-intensive tasks (Document AI OCR, Excel bulk parsing) are offloaded to Redis/Celery background workers without blocking HTTP threads.</w:t>
            </w:r>
          </w:p>
        </w:tc>
        <w:tc>
          <w:tcPr>
            <w:tcW w:type="dxa" w:w="1728"/>
            <w:shd w:fill="F8FAFC"/>
            <w:tcMar>
              <w:top w:w="80" w:type="dxa"/>
              <w:bottom w:w="80" w:type="dxa"/>
              <w:left w:w="140" w:type="dxa"/>
              <w:right w:w="140" w:type="dxa"/>
            </w:tcMar>
            <w:vAlign w:val="center"/>
          </w:tcPr>
          <w:p>
            <w:r>
              <w:rPr>
                <w:color w:val="1E293B"/>
                <w:sz w:val="18"/>
              </w:rPr>
              <w:t>Celery Monitoring</w:t>
            </w:r>
          </w:p>
        </w:tc>
      </w:tr>
      <w:tr>
        <w:tc>
          <w:tcPr>
            <w:tcW w:type="dxa" w:w="1296"/>
            <w:shd w:fill="FFFFFF"/>
            <w:tcMar>
              <w:top w:w="80" w:type="dxa"/>
              <w:bottom w:w="80" w:type="dxa"/>
              <w:left w:w="140" w:type="dxa"/>
              <w:right w:w="140" w:type="dxa"/>
            </w:tcMar>
            <w:vAlign w:val="center"/>
          </w:tcPr>
          <w:p>
            <w:r>
              <w:rPr>
                <w:color w:val="1E293B"/>
                <w:sz w:val="18"/>
              </w:rPr>
              <w:t>NFR-03</w:t>
            </w:r>
          </w:p>
        </w:tc>
        <w:tc>
          <w:tcPr>
            <w:tcW w:type="dxa" w:w="2160"/>
            <w:shd w:fill="FFFFFF"/>
            <w:tcMar>
              <w:top w:w="80" w:type="dxa"/>
              <w:bottom w:w="80" w:type="dxa"/>
              <w:left w:w="140" w:type="dxa"/>
              <w:right w:w="140" w:type="dxa"/>
            </w:tcMar>
            <w:vAlign w:val="center"/>
          </w:tcPr>
          <w:p>
            <w:r>
              <w:rPr>
                <w:color w:val="1E293B"/>
                <w:sz w:val="18"/>
              </w:rPr>
              <w:t>Transport &amp; Data Security</w:t>
            </w:r>
          </w:p>
        </w:tc>
        <w:tc>
          <w:tcPr>
            <w:tcW w:type="dxa" w:w="4608"/>
            <w:shd w:fill="FFFFFF"/>
            <w:tcMar>
              <w:top w:w="80" w:type="dxa"/>
              <w:bottom w:w="80" w:type="dxa"/>
              <w:left w:w="140" w:type="dxa"/>
              <w:right w:w="140" w:type="dxa"/>
            </w:tcMar>
            <w:vAlign w:val="center"/>
          </w:tcPr>
          <w:p>
            <w:r>
              <w:rPr>
                <w:color w:val="1E293B"/>
                <w:sz w:val="18"/>
              </w:rPr>
              <w:t>Enforced TLS 1.3 encryption (HTTPS); Content-Security-Policy, CSRF tokens on all POST requests, PBKDF2 password hashing (600,000 rounds).</w:t>
            </w:r>
          </w:p>
        </w:tc>
        <w:tc>
          <w:tcPr>
            <w:tcW w:type="dxa" w:w="1728"/>
            <w:shd w:fill="FFFFFF"/>
            <w:tcMar>
              <w:top w:w="80" w:type="dxa"/>
              <w:bottom w:w="80" w:type="dxa"/>
              <w:left w:w="140" w:type="dxa"/>
              <w:right w:w="140" w:type="dxa"/>
            </w:tcMar>
            <w:vAlign w:val="center"/>
          </w:tcPr>
          <w:p>
            <w:r>
              <w:rPr>
                <w:color w:val="1E293B"/>
                <w:sz w:val="18"/>
              </w:rPr>
              <w:t>OWASP Security Scan</w:t>
            </w:r>
          </w:p>
        </w:tc>
      </w:tr>
      <w:tr>
        <w:tc>
          <w:tcPr>
            <w:tcW w:type="dxa" w:w="1296"/>
            <w:shd w:fill="F8FAFC"/>
            <w:tcMar>
              <w:top w:w="80" w:type="dxa"/>
              <w:bottom w:w="80" w:type="dxa"/>
              <w:left w:w="140" w:type="dxa"/>
              <w:right w:w="140" w:type="dxa"/>
            </w:tcMar>
            <w:vAlign w:val="center"/>
          </w:tcPr>
          <w:p>
            <w:r>
              <w:rPr>
                <w:color w:val="1E293B"/>
                <w:sz w:val="18"/>
              </w:rPr>
              <w:t>NFR-04</w:t>
            </w:r>
          </w:p>
        </w:tc>
        <w:tc>
          <w:tcPr>
            <w:tcW w:type="dxa" w:w="2160"/>
            <w:shd w:fill="F8FAFC"/>
            <w:tcMar>
              <w:top w:w="80" w:type="dxa"/>
              <w:bottom w:w="80" w:type="dxa"/>
              <w:left w:w="140" w:type="dxa"/>
              <w:right w:w="140" w:type="dxa"/>
            </w:tcMar>
            <w:vAlign w:val="center"/>
          </w:tcPr>
          <w:p>
            <w:r>
              <w:rPr>
                <w:color w:val="1E293B"/>
                <w:sz w:val="18"/>
              </w:rPr>
              <w:t>Elderly Eye Usability</w:t>
            </w:r>
          </w:p>
        </w:tc>
        <w:tc>
          <w:tcPr>
            <w:tcW w:type="dxa" w:w="4608"/>
            <w:shd w:fill="F8FAFC"/>
            <w:tcMar>
              <w:top w:w="80" w:type="dxa"/>
              <w:bottom w:w="80" w:type="dxa"/>
              <w:left w:w="140" w:type="dxa"/>
              <w:right w:w="140" w:type="dxa"/>
            </w:tcMar>
            <w:vAlign w:val="center"/>
          </w:tcPr>
          <w:p>
            <w:r>
              <w:rPr>
                <w:color w:val="1E293B"/>
                <w:sz w:val="18"/>
              </w:rPr>
              <w:t>Persistent High-Legibility Mode (A+) scaling body text to 17px base, headlines to 24-32px, and expanding buttons to 48px touch targets.</w:t>
            </w:r>
          </w:p>
        </w:tc>
        <w:tc>
          <w:tcPr>
            <w:tcW w:type="dxa" w:w="1728"/>
            <w:shd w:fill="F8FAFC"/>
            <w:tcMar>
              <w:top w:w="80" w:type="dxa"/>
              <w:bottom w:w="80" w:type="dxa"/>
              <w:left w:w="140" w:type="dxa"/>
              <w:right w:w="140" w:type="dxa"/>
            </w:tcMar>
            <w:vAlign w:val="center"/>
          </w:tcPr>
          <w:p>
            <w:r>
              <w:rPr>
                <w:color w:val="1E293B"/>
                <w:sz w:val="18"/>
              </w:rPr>
              <w:t>Accessibility Audit</w:t>
            </w:r>
          </w:p>
        </w:tc>
      </w:tr>
      <w:tr>
        <w:tc>
          <w:tcPr>
            <w:tcW w:type="dxa" w:w="1296"/>
            <w:shd w:fill="FFFFFF"/>
            <w:tcMar>
              <w:top w:w="80" w:type="dxa"/>
              <w:bottom w:w="80" w:type="dxa"/>
              <w:left w:w="140" w:type="dxa"/>
              <w:right w:w="140" w:type="dxa"/>
            </w:tcMar>
            <w:vAlign w:val="center"/>
          </w:tcPr>
          <w:p>
            <w:r>
              <w:rPr>
                <w:color w:val="1E293B"/>
                <w:sz w:val="18"/>
              </w:rPr>
              <w:t>NFR-05</w:t>
            </w:r>
          </w:p>
        </w:tc>
        <w:tc>
          <w:tcPr>
            <w:tcW w:type="dxa" w:w="2160"/>
            <w:shd w:fill="FFFFFF"/>
            <w:tcMar>
              <w:top w:w="80" w:type="dxa"/>
              <w:bottom w:w="80" w:type="dxa"/>
              <w:left w:w="140" w:type="dxa"/>
              <w:right w:w="140" w:type="dxa"/>
            </w:tcMar>
            <w:vAlign w:val="center"/>
          </w:tcPr>
          <w:p>
            <w:r>
              <w:rPr>
                <w:color w:val="1E293B"/>
                <w:sz w:val="18"/>
              </w:rPr>
              <w:t>High Availability &amp; Uptime</w:t>
            </w:r>
          </w:p>
        </w:tc>
        <w:tc>
          <w:tcPr>
            <w:tcW w:type="dxa" w:w="4608"/>
            <w:shd w:fill="FFFFFF"/>
            <w:tcMar>
              <w:top w:w="80" w:type="dxa"/>
              <w:bottom w:w="80" w:type="dxa"/>
              <w:left w:w="140" w:type="dxa"/>
              <w:right w:w="140" w:type="dxa"/>
            </w:tcMar>
            <w:vAlign w:val="center"/>
          </w:tcPr>
          <w:p>
            <w:r>
              <w:rPr>
                <w:color w:val="1E293B"/>
                <w:sz w:val="18"/>
              </w:rPr>
              <w:t>Target 99.9% availability during business hours (07:00-19:00 PHT); Docker Compose restart policies (unless-stopped) with automated health checks.</w:t>
            </w:r>
          </w:p>
        </w:tc>
        <w:tc>
          <w:tcPr>
            <w:tcW w:type="dxa" w:w="1728"/>
            <w:shd w:fill="FFFFFF"/>
            <w:tcMar>
              <w:top w:w="80" w:type="dxa"/>
              <w:bottom w:w="80" w:type="dxa"/>
              <w:left w:w="140" w:type="dxa"/>
              <w:right w:w="140" w:type="dxa"/>
            </w:tcMar>
            <w:vAlign w:val="center"/>
          </w:tcPr>
          <w:p>
            <w:r>
              <w:rPr>
                <w:color w:val="1E293B"/>
                <w:sz w:val="18"/>
              </w:rPr>
              <w:t>Uptime Monitoring</w:t>
            </w:r>
          </w:p>
        </w:tc>
      </w:tr>
      <w:tr>
        <w:tc>
          <w:tcPr>
            <w:tcW w:type="dxa" w:w="1296"/>
            <w:shd w:fill="F8FAFC"/>
            <w:tcMar>
              <w:top w:w="80" w:type="dxa"/>
              <w:bottom w:w="80" w:type="dxa"/>
              <w:left w:w="140" w:type="dxa"/>
              <w:right w:w="140" w:type="dxa"/>
            </w:tcMar>
            <w:vAlign w:val="center"/>
          </w:tcPr>
          <w:p>
            <w:r>
              <w:rPr>
                <w:color w:val="1E293B"/>
                <w:sz w:val="18"/>
              </w:rPr>
              <w:t>NFR-06</w:t>
            </w:r>
          </w:p>
        </w:tc>
        <w:tc>
          <w:tcPr>
            <w:tcW w:type="dxa" w:w="2160"/>
            <w:shd w:fill="F8FAFC"/>
            <w:tcMar>
              <w:top w:w="80" w:type="dxa"/>
              <w:bottom w:w="80" w:type="dxa"/>
              <w:left w:w="140" w:type="dxa"/>
              <w:right w:w="140" w:type="dxa"/>
            </w:tcMar>
            <w:vAlign w:val="center"/>
          </w:tcPr>
          <w:p>
            <w:r>
              <w:rPr>
                <w:color w:val="1E293B"/>
                <w:sz w:val="18"/>
              </w:rPr>
              <w:t>Data Precision &amp; Accuracy</w:t>
            </w:r>
          </w:p>
        </w:tc>
        <w:tc>
          <w:tcPr>
            <w:tcW w:type="dxa" w:w="4608"/>
            <w:shd w:fill="F8FAFC"/>
            <w:tcMar>
              <w:top w:w="80" w:type="dxa"/>
              <w:bottom w:w="80" w:type="dxa"/>
              <w:left w:w="140" w:type="dxa"/>
              <w:right w:w="140" w:type="dxa"/>
            </w:tcMar>
            <w:vAlign w:val="center"/>
          </w:tcPr>
          <w:p>
            <w:r>
              <w:rPr>
                <w:color w:val="1E293B"/>
                <w:sz w:val="18"/>
              </w:rPr>
              <w:t>Currency stored with Decimal(14,2); metric tonnage stored with Decimal(14,5) to prevent floating-point rounding errors.</w:t>
            </w:r>
          </w:p>
        </w:tc>
        <w:tc>
          <w:tcPr>
            <w:tcW w:type="dxa" w:w="1728"/>
            <w:shd w:fill="F8FAFC"/>
            <w:tcMar>
              <w:top w:w="80" w:type="dxa"/>
              <w:bottom w:w="80" w:type="dxa"/>
              <w:left w:w="140" w:type="dxa"/>
              <w:right w:w="140" w:type="dxa"/>
            </w:tcMar>
            <w:vAlign w:val="center"/>
          </w:tcPr>
          <w:p>
            <w:r>
              <w:rPr>
                <w:color w:val="1E293B"/>
                <w:sz w:val="18"/>
              </w:rPr>
              <w:t>Unit Test Assertions</w:t>
            </w:r>
          </w:p>
        </w:tc>
      </w:tr>
      <w:tr>
        <w:tc>
          <w:tcPr>
            <w:tcW w:type="dxa" w:w="1296"/>
            <w:shd w:fill="FFFFFF"/>
            <w:tcMar>
              <w:top w:w="80" w:type="dxa"/>
              <w:bottom w:w="80" w:type="dxa"/>
              <w:left w:w="140" w:type="dxa"/>
              <w:right w:w="140" w:type="dxa"/>
            </w:tcMar>
            <w:vAlign w:val="center"/>
          </w:tcPr>
          <w:p>
            <w:r>
              <w:rPr>
                <w:color w:val="1E293B"/>
                <w:sz w:val="18"/>
              </w:rPr>
              <w:t>NFR-07</w:t>
            </w:r>
          </w:p>
        </w:tc>
        <w:tc>
          <w:tcPr>
            <w:tcW w:type="dxa" w:w="2160"/>
            <w:shd w:fill="FFFFFF"/>
            <w:tcMar>
              <w:top w:w="80" w:type="dxa"/>
              <w:bottom w:w="80" w:type="dxa"/>
              <w:left w:w="140" w:type="dxa"/>
              <w:right w:w="140" w:type="dxa"/>
            </w:tcMar>
            <w:vAlign w:val="center"/>
          </w:tcPr>
          <w:p>
            <w:r>
              <w:rPr>
                <w:color w:val="1E293B"/>
                <w:sz w:val="18"/>
              </w:rPr>
              <w:t>Auditability &amp; Immutability</w:t>
            </w:r>
          </w:p>
        </w:tc>
        <w:tc>
          <w:tcPr>
            <w:tcW w:type="dxa" w:w="4608"/>
            <w:shd w:fill="FFFFFF"/>
            <w:tcMar>
              <w:top w:w="80" w:type="dxa"/>
              <w:bottom w:w="80" w:type="dxa"/>
              <w:left w:w="140" w:type="dxa"/>
              <w:right w:w="140" w:type="dxa"/>
            </w:tcMar>
            <w:vAlign w:val="center"/>
          </w:tcPr>
          <w:p>
            <w:r>
              <w:rPr>
                <w:color w:val="1E293B"/>
                <w:sz w:val="18"/>
              </w:rPr>
              <w:t>Append-only activity audit trail tracking user, timestamp, table, and changed fields via django-simple-history.</w:t>
            </w:r>
          </w:p>
        </w:tc>
        <w:tc>
          <w:tcPr>
            <w:tcW w:type="dxa" w:w="1728"/>
            <w:shd w:fill="FFFFFF"/>
            <w:tcMar>
              <w:top w:w="80" w:type="dxa"/>
              <w:bottom w:w="80" w:type="dxa"/>
              <w:left w:w="140" w:type="dxa"/>
              <w:right w:w="140" w:type="dxa"/>
            </w:tcMar>
            <w:vAlign w:val="center"/>
          </w:tcPr>
          <w:p>
            <w:r>
              <w:rPr>
                <w:color w:val="1E293B"/>
                <w:sz w:val="18"/>
              </w:rPr>
              <w:t>Audit Table Inspection</w:t>
            </w:r>
          </w:p>
        </w:tc>
      </w:tr>
      <w:tr>
        <w:tc>
          <w:tcPr>
            <w:tcW w:type="dxa" w:w="1296"/>
            <w:shd w:fill="F8FAFC"/>
            <w:tcMar>
              <w:top w:w="80" w:type="dxa"/>
              <w:bottom w:w="80" w:type="dxa"/>
              <w:left w:w="140" w:type="dxa"/>
              <w:right w:w="140" w:type="dxa"/>
            </w:tcMar>
            <w:vAlign w:val="center"/>
          </w:tcPr>
          <w:p>
            <w:r>
              <w:rPr>
                <w:color w:val="1E293B"/>
                <w:sz w:val="18"/>
              </w:rPr>
              <w:t>NFR-08</w:t>
            </w:r>
          </w:p>
        </w:tc>
        <w:tc>
          <w:tcPr>
            <w:tcW w:type="dxa" w:w="2160"/>
            <w:shd w:fill="F8FAFC"/>
            <w:tcMar>
              <w:top w:w="80" w:type="dxa"/>
              <w:bottom w:w="80" w:type="dxa"/>
              <w:left w:w="140" w:type="dxa"/>
              <w:right w:w="140" w:type="dxa"/>
            </w:tcMar>
            <w:vAlign w:val="center"/>
          </w:tcPr>
          <w:p>
            <w:r>
              <w:rPr>
                <w:color w:val="1E293B"/>
                <w:sz w:val="18"/>
              </w:rPr>
              <w:t>Disaster Recovery</w:t>
            </w:r>
          </w:p>
        </w:tc>
        <w:tc>
          <w:tcPr>
            <w:tcW w:type="dxa" w:w="4608"/>
            <w:shd w:fill="F8FAFC"/>
            <w:tcMar>
              <w:top w:w="80" w:type="dxa"/>
              <w:bottom w:w="80" w:type="dxa"/>
              <w:left w:w="140" w:type="dxa"/>
              <w:right w:w="140" w:type="dxa"/>
            </w:tcMar>
            <w:vAlign w:val="center"/>
          </w:tcPr>
          <w:p>
            <w:r>
              <w:rPr>
                <w:color w:val="1E293B"/>
                <w:sz w:val="18"/>
              </w:rPr>
              <w:t>Automated nightly PostgreSQL database dumps (pg_dump) archived to persistent EBS storage; RTO &lt; 30 min, RPO &lt; 24 hrs.</w:t>
            </w:r>
          </w:p>
        </w:tc>
        <w:tc>
          <w:tcPr>
            <w:tcW w:type="dxa" w:w="1728"/>
            <w:shd w:fill="F8FAFC"/>
            <w:tcMar>
              <w:top w:w="80" w:type="dxa"/>
              <w:bottom w:w="80" w:type="dxa"/>
              <w:left w:w="140" w:type="dxa"/>
              <w:right w:w="140" w:type="dxa"/>
            </w:tcMar>
            <w:vAlign w:val="center"/>
          </w:tcPr>
          <w:p>
            <w:r>
              <w:rPr>
                <w:color w:val="1E293B"/>
                <w:sz w:val="18"/>
              </w:rPr>
              <w:t>Backup Drill</w:t>
            </w:r>
          </w:p>
        </w:tc>
      </w:tr>
    </w:tbl>
    <w:p>
      <w:r>
        <w:br w:type="page"/>
      </w:r>
    </w:p>
    <w:p>
      <w:pPr>
        <w:pStyle w:val="Heading1"/>
      </w:pPr>
      <w:r>
        <w:t>Section V: Comprehensive Master Project Sign-Off</w:t>
      </w:r>
    </w:p>
    <w:tbl>
      <w:tblPr>
        <w:tblW w:type="auto" w:w="0"/>
        <w:jc w:val="center"/>
        <w:tblLook w:firstColumn="1" w:firstRow="1" w:lastColumn="0" w:lastRow="0" w:noHBand="0" w:noVBand="1" w:val="04A0"/>
      </w:tblPr>
      <w:tblGrid>
        <w:gridCol w:w="10080"/>
      </w:tblGrid>
      <w:tr>
        <w:tc>
          <w:tcPr>
            <w:tcW w:type="dxa" w:w="10080"/>
            <w:shd w:fill="EFF6FF"/>
            <w:tcMar>
              <w:top w:w="140" w:type="dxa"/>
              <w:bottom w:w="140" w:type="dxa"/>
              <w:left w:w="200" w:type="dxa"/>
              <w:right w:w="200" w:type="dxa"/>
            </w:tcMar>
            <w:tcBorders>
              <w:top w:val="none"/>
              <w:left w:val="single" w:sz="24" w:space="0" w:color="1E3A8A"/>
              <w:bottom w:val="none"/>
              <w:right w:val="none"/>
            </w:tcBorders>
          </w:tcPr>
          <w:p>
            <w:pPr>
              <w:spacing w:before="40" w:after="40"/>
            </w:pPr>
            <w:r>
              <w:rPr>
                <w:b/>
                <w:color w:val="1E3A8A"/>
                <w:sz w:val="19"/>
              </w:rPr>
              <w:t>MASTER ACCEPTANCE &amp; HANDOVER STATEMENT</w:t>
              <w:br/>
            </w:r>
            <w:r>
              <w:rPr>
                <w:i/>
                <w:color w:val="334155"/>
                <w:sz w:val="18"/>
              </w:rPr>
              <w:t>The signatures below officially confirm that the HTC Core Trading &amp; Logistics Management Platform (Capstone 2) has completed all design, development, unit testing, User Acceptance Testing (UAT), and cloud deployment phases. The software is live, operational, and accepted without reservation by both Heindrich Trading Corporation and the Development Team.</w:t>
            </w:r>
          </w:p>
        </w:tc>
      </w:tr>
    </w:tbl>
    <w:p>
      <w:pPr>
        <w:spacing w:after="160"/>
      </w:pPr>
    </w:p>
    <w:tbl>
      <w:tblPr>
        <w:tblW w:type="auto" w:w="0"/>
        <w:jc w:val="center"/>
        <w:tblLook w:firstColumn="1" w:firstRow="1" w:lastColumn="0" w:lastRow="0" w:noHBand="0" w:noVBand="1" w:val="04A0"/>
      </w:tblPr>
      <w:tblGrid>
        <w:gridCol w:w="5040"/>
        <w:gridCol w:w="5040"/>
      </w:tblGrid>
      <w:tr>
        <w:tc>
          <w:tcPr>
            <w:tcW w:type="dxa" w:w="4752"/>
            <w:shd w:fill="1E3A8A"/>
            <w:tcMar>
              <w:top w:w="120" w:type="dxa"/>
              <w:bottom w:w="120" w:type="dxa"/>
              <w:left w:w="150" w:type="dxa"/>
              <w:right w:w="150" w:type="dxa"/>
            </w:tcMar>
            <w:vAlign w:val="center"/>
          </w:tcPr>
          <w:p>
            <w:pPr>
              <w:jc w:val="left"/>
            </w:pPr>
            <w:r>
              <w:rPr>
                <w:b/>
                <w:color w:val="FFFFFF"/>
                <w:sz w:val="19"/>
              </w:rPr>
              <w:t>HEINDRICH TRADING CORPORATION (CLIENT)</w:t>
            </w:r>
          </w:p>
        </w:tc>
        <w:tc>
          <w:tcPr>
            <w:tcW w:type="dxa" w:w="4752"/>
            <w:shd w:fill="1E3A8A"/>
            <w:tcMar>
              <w:top w:w="120" w:type="dxa"/>
              <w:bottom w:w="120" w:type="dxa"/>
              <w:left w:w="150" w:type="dxa"/>
              <w:right w:w="150" w:type="dxa"/>
            </w:tcMar>
            <w:vAlign w:val="center"/>
          </w:tcPr>
          <w:p>
            <w:pPr>
              <w:jc w:val="left"/>
            </w:pPr>
            <w:r>
              <w:rPr>
                <w:b/>
                <w:color w:val="FFFFFF"/>
                <w:sz w:val="19"/>
              </w:rPr>
              <w:t>CAPSTONE 2 DEVELOPMENT TEAM (CONTRACTOR)</w:t>
            </w:r>
          </w:p>
        </w:tc>
      </w:tr>
      <w:tr>
        <w:tc>
          <w:tcPr>
            <w:tcW w:type="dxa" w:w="5040"/>
            <w:shd w:fill="F8FAFC"/>
            <w:tcMar>
              <w:top w:w="120" w:type="dxa"/>
              <w:bottom w:w="120" w:type="dxa"/>
              <w:left w:w="150" w:type="dxa"/>
              <w:right w:w="150" w:type="dxa"/>
            </w:tcMar>
          </w:tcPr>
          <w:p>
            <w:r>
              <w:rPr>
                <w:b/>
              </w:rPr>
              <w:t>1. Client Executive Sponsor</w:t>
              <w:br/>
            </w:r>
            <w:r>
              <w:t>Title: President &amp; General Manager</w:t>
              <w:br/>
            </w:r>
            <w:r>
              <w:t>Printed Name: ___________________________</w:t>
              <w:br/>
            </w:r>
            <w:r>
              <w:t>Signature: ______________________________</w:t>
              <w:br/>
            </w:r>
            <w:r>
              <w:t>Date: _____ / _____ / 2026</w:t>
            </w:r>
          </w:p>
        </w:tc>
        <w:tc>
          <w:tcPr>
            <w:tcW w:type="dxa" w:w="5040"/>
            <w:shd w:fill="F8FAFC"/>
            <w:tcMar>
              <w:top w:w="120" w:type="dxa"/>
              <w:bottom w:w="120" w:type="dxa"/>
              <w:left w:w="150" w:type="dxa"/>
              <w:right w:w="150" w:type="dxa"/>
            </w:tcMar>
          </w:tcPr>
          <w:p>
            <w:r>
              <w:rPr>
                <w:b/>
              </w:rPr>
              <w:t>4. Lead Systems Architect</w:t>
              <w:br/>
            </w:r>
            <w:r>
              <w:t>Title: Systems Architect &amp; Technical Lead</w:t>
              <w:br/>
            </w:r>
            <w:r>
              <w:t>Printed Name: ___________________________</w:t>
              <w:br/>
            </w:r>
            <w:r>
              <w:t>Signature: ______________________________</w:t>
              <w:br/>
            </w:r>
            <w:r>
              <w:t>Date: _____ / _____ / 2026</w:t>
            </w:r>
          </w:p>
        </w:tc>
      </w:tr>
      <w:tr>
        <w:tc>
          <w:tcPr>
            <w:tcW w:type="dxa" w:w="5040"/>
            <w:shd w:fill="F8FAFC"/>
            <w:tcMar>
              <w:top w:w="120" w:type="dxa"/>
              <w:bottom w:w="120" w:type="dxa"/>
              <w:left w:w="150" w:type="dxa"/>
              <w:right w:w="150" w:type="dxa"/>
            </w:tcMar>
          </w:tcPr>
          <w:p>
            <w:r>
              <w:rPr>
                <w:b/>
              </w:rPr>
              <w:t>2. Client Operations Lead</w:t>
              <w:br/>
            </w:r>
            <w:r>
              <w:t>Title: Head of Operations &amp; Logistics</w:t>
              <w:br/>
            </w:r>
            <w:r>
              <w:t>Printed Name: ___________________________</w:t>
              <w:br/>
            </w:r>
            <w:r>
              <w:t>Signature: ______________________________</w:t>
              <w:br/>
            </w:r>
            <w:r>
              <w:t>Date: _____ / _____ / 2026</w:t>
            </w:r>
          </w:p>
        </w:tc>
        <w:tc>
          <w:tcPr>
            <w:tcW w:type="dxa" w:w="5040"/>
            <w:shd w:fill="F8FAFC"/>
            <w:tcMar>
              <w:top w:w="120" w:type="dxa"/>
              <w:bottom w:w="120" w:type="dxa"/>
              <w:left w:w="150" w:type="dxa"/>
              <w:right w:w="150" w:type="dxa"/>
            </w:tcMar>
          </w:tcPr>
          <w:p>
            <w:r>
              <w:rPr>
                <w:b/>
              </w:rPr>
              <w:t>5. Lead Full-Stack Developer</w:t>
              <w:br/>
            </w:r>
            <w:r>
              <w:t>Title: Full-Stack Software Engineer</w:t>
              <w:br/>
            </w:r>
            <w:r>
              <w:t>Printed Name: ___________________________</w:t>
              <w:br/>
            </w:r>
            <w:r>
              <w:t>Signature: ______________________________</w:t>
              <w:br/>
            </w:r>
            <w:r>
              <w:t>Date: _____ / _____ / 2026</w:t>
            </w:r>
          </w:p>
        </w:tc>
      </w:tr>
      <w:tr>
        <w:tc>
          <w:tcPr>
            <w:tcW w:type="dxa" w:w="5040"/>
            <w:shd w:fill="F8FAFC"/>
            <w:tcMar>
              <w:top w:w="120" w:type="dxa"/>
              <w:bottom w:w="120" w:type="dxa"/>
              <w:left w:w="150" w:type="dxa"/>
              <w:right w:w="150" w:type="dxa"/>
            </w:tcMar>
          </w:tcPr>
          <w:p>
            <w:r>
              <w:rPr>
                <w:b/>
              </w:rPr>
              <w:t>3. Client Finance Officer</w:t>
              <w:br/>
            </w:r>
            <w:r>
              <w:t>Title: Chief Finance Officer / Treasury Head</w:t>
              <w:br/>
            </w:r>
            <w:r>
              <w:t>Printed Name: ___________________________</w:t>
              <w:br/>
            </w:r>
            <w:r>
              <w:t>Signature: ______________________________</w:t>
              <w:br/>
            </w:r>
            <w:r>
              <w:t>Date: _____ / _____ / 2026</w:t>
            </w:r>
          </w:p>
        </w:tc>
        <w:tc>
          <w:tcPr>
            <w:tcW w:type="dxa" w:w="5040"/>
            <w:shd w:fill="F8FAFC"/>
            <w:tcMar>
              <w:top w:w="120" w:type="dxa"/>
              <w:bottom w:w="120" w:type="dxa"/>
              <w:left w:w="150" w:type="dxa"/>
              <w:right w:w="150" w:type="dxa"/>
            </w:tcMar>
          </w:tcPr>
          <w:p>
            <w:r>
              <w:rPr>
                <w:b/>
              </w:rPr>
              <w:t>6. DevOps &amp; QA Lead</w:t>
              <w:br/>
            </w:r>
            <w:r>
              <w:t>Title: Quality Assurance &amp; Cloud Engineer</w:t>
              <w:br/>
            </w:r>
            <w:r>
              <w:t>Printed Name: ___________________________</w:t>
              <w:br/>
            </w:r>
            <w:r>
              <w:t>Signature: ______________________________</w:t>
              <w:br/>
            </w:r>
            <w:r>
              <w:t>Date: _____ / _____ / 2026</w:t>
            </w: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Heindrich Trading Corporation (HTC) — Capstone 2 Project Documentation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6"/>
      </w:rPr>
      <w:t>HTC Core — Scope of Work, Agile Milestone Acceptance &amp; System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