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F2240"/>
          <w:sz w:val="48"/>
        </w:rPr>
        <w:t>HTC Core Enterprise Platform</w:t>
      </w:r>
    </w:p>
    <w:p>
      <w:r>
        <w:rPr>
          <w:b/>
          <w:color w:val="1E5A96"/>
          <w:sz w:val="32"/>
        </w:rPr>
        <w:t>Development to Deployment Milestones Plan</w:t>
      </w:r>
    </w:p>
    <w:p>
      <w:pPr>
        <w:spacing w:after="280"/>
      </w:pPr>
      <w:r>
        <w:rPr>
          <w:b/>
        </w:rPr>
        <w:t xml:space="preserve">Prepared For: </w:t>
      </w:r>
      <w:r>
        <w:t>Project Stakeholders &amp; Capstone Evaluation Panel</w:t>
        <w:br/>
      </w:r>
      <w:r>
        <w:rPr>
          <w:b/>
        </w:rPr>
        <w:t xml:space="preserve">Document Version: </w:t>
      </w:r>
      <w:r>
        <w:t xml:space="preserve">1.0  |  </w:t>
      </w:r>
      <w:r>
        <w:rPr>
          <w:b/>
        </w:rPr>
        <w:t xml:space="preserve">Status: </w:t>
      </w:r>
      <w:r>
        <w:t>Approved for Sign-Off &amp; Deployment</w:t>
      </w:r>
    </w:p>
    <w:p>
      <w:pPr>
        <w:spacing w:after="240"/>
      </w:pPr>
      <w:r>
        <w:rPr>
          <w:color w:val="C8C8C8"/>
        </w:rPr>
        <w:t>――――――――――――――――――――――――――――――――――――――――――――――――</w:t>
      </w:r>
    </w:p>
    <w:p>
      <w:pPr>
        <w:pStyle w:val="Heading1"/>
      </w:pPr>
      <w:r>
        <w:rPr>
          <w:b/>
          <w:color w:val="0F2240"/>
          <w:sz w:val="28"/>
        </w:rPr>
        <w:t>1. Executive Summary</w:t>
      </w:r>
    </w:p>
    <w:p>
      <w:pPr>
        <w:spacing w:line="276" w:lineRule="auto" w:after="280"/>
      </w:pPr>
      <w:r>
        <w:t>This document outlines the formal development, testing, and cloud deployment milestones for the HTC Core Enterprise System. Designed to ensure complete alignment between academic evaluation standards and enterprise software best practices, this roadmap breaks the project into six distinct, measurable milestones. Each milestone features explicit deliverables, acceptance criteria, technical validation standards, and stakeholder approval metrics.</w:t>
      </w:r>
    </w:p>
    <w:p>
      <w:pPr>
        <w:pStyle w:val="Heading1"/>
      </w:pPr>
      <w:r>
        <w:rPr>
          <w:b/>
          <w:color w:val="0F2240"/>
          <w:sz w:val="28"/>
        </w:rPr>
        <w:t>2. Detailed Milestone Specifications</w:t>
      </w:r>
    </w:p>
    <w:p>
      <w:pPr>
        <w:pStyle w:val="Heading2"/>
      </w:pPr>
      <w:r>
        <w:rPr>
          <w:b/>
          <w:color w:val="1E5A96"/>
          <w:sz w:val="24"/>
        </w:rPr>
        <w:t>📌 Milestone 1: System Architecture, Database Schema &amp; Core Security Framework</w:t>
      </w:r>
    </w:p>
    <w:p>
      <w:pPr>
        <w:spacing w:after="80"/>
      </w:pPr>
      <w:r>
        <w:rPr>
          <w:b/>
          <w:color w:val="0F2240"/>
        </w:rPr>
        <w:t xml:space="preserve">Focus: </w:t>
      </w:r>
      <w:r>
        <w:rPr>
          <w:i/>
        </w:rPr>
        <w:t>Establishing foundational infrastructure, multi-role access controls, and database design.</w:t>
      </w:r>
    </w:p>
    <w:p>
      <w:pPr>
        <w:spacing w:after="120"/>
      </w:pPr>
      <w:r>
        <w:rPr>
          <w:b/>
        </w:rPr>
        <w:t xml:space="preserve">Objective: </w:t>
      </w:r>
      <w:r>
        <w:t>Build a resilient, scalable backend foundation with strict Role-Based Access Control (RBAC) and immutable data models.</w:t>
      </w:r>
    </w:p>
    <w:p>
      <w:pPr>
        <w:spacing w:after="40"/>
      </w:pPr>
      <w:r>
        <w:rPr>
          <w:b/>
        </w:rPr>
        <w:t>Key Deliverables:</w:t>
      </w:r>
    </w:p>
    <w:p>
      <w:pPr>
        <w:pStyle w:val="ListBullet"/>
        <w:spacing w:after="40"/>
      </w:pPr>
      <w:r>
        <w:t>Unified Django application architecture with modular app structure (operations, config, templates).</w:t>
      </w:r>
    </w:p>
    <w:p>
      <w:pPr>
        <w:pStyle w:val="ListBullet"/>
        <w:spacing w:after="40"/>
      </w:pPr>
      <w:r>
        <w:t>Relational Database Schema (PostgreSQL/SQLite) with normalized models for Users, Roles, Audit Logs, and Workflows.</w:t>
      </w:r>
    </w:p>
    <w:p>
      <w:pPr>
        <w:pStyle w:val="ListBullet"/>
        <w:spacing w:after="40"/>
      </w:pPr>
      <w:r>
        <w:t>Granular Permission Engine supporting Admin, Procurement Specialist, Logistics Manager, and Finance Officer roles.</w:t>
      </w:r>
    </w:p>
    <w:p>
      <w:pPr>
        <w:pStyle w:val="ListBullet"/>
        <w:spacing w:after="40"/>
      </w:pPr>
      <w:r>
        <w:t>Environment variable management (.env) for secrets, API credentials, and database settings.</w:t>
      </w:r>
    </w:p>
    <w:p>
      <w:pPr>
        <w:spacing w:before="80" w:after="40"/>
      </w:pPr>
      <w:r>
        <w:rPr>
          <w:b/>
        </w:rPr>
        <w:t>Acceptance &amp; Sign-off Criteria:</w:t>
      </w:r>
    </w:p>
    <w:p>
      <w:pPr>
        <w:pStyle w:val="ListBullet"/>
        <w:spacing w:after="40"/>
      </w:pPr>
      <w:r>
        <w:rPr>
          <w:b/>
          <w:color w:val="1E8C32"/>
        </w:rPr>
        <w:t xml:space="preserve">[✓] </w:t>
      </w:r>
      <w:r>
        <w:t>100% of user roles properly enforce route guard restrictions and permission checks.</w:t>
      </w:r>
    </w:p>
    <w:p>
      <w:pPr>
        <w:pStyle w:val="ListBullet"/>
        <w:spacing w:after="40"/>
      </w:pPr>
      <w:r>
        <w:rPr>
          <w:b/>
          <w:color w:val="1E8C32"/>
        </w:rPr>
        <w:t xml:space="preserve">[✓] </w:t>
      </w:r>
      <w:r>
        <w:t>Database migrations execute cleanly without circular dependencies or orphaned foreign keys.</w:t>
      </w:r>
    </w:p>
    <w:p>
      <w:pPr>
        <w:pStyle w:val="ListBullet"/>
        <w:spacing w:after="40"/>
      </w:pPr>
      <w:r>
        <w:rPr>
          <w:b/>
          <w:color w:val="1E8C32"/>
        </w:rPr>
        <w:t xml:space="preserve">[✓] </w:t>
      </w:r>
      <w:r>
        <w:t>All sensitive credentials are isolated from source control.</w:t>
      </w:r>
    </w:p>
    <w:p>
      <w:pPr>
        <w:spacing w:after="120"/>
      </w:pPr>
    </w:p>
    <w:p>
      <w:pPr>
        <w:pStyle w:val="Heading2"/>
      </w:pPr>
      <w:r>
        <w:rPr>
          <w:b/>
          <w:color w:val="1E5A96"/>
          <w:sz w:val="24"/>
        </w:rPr>
        <w:t>📌 Milestone 2: Procurement, Vendor &amp; Inventory/Logistics Module Implementation</w:t>
      </w:r>
    </w:p>
    <w:p>
      <w:pPr>
        <w:spacing w:after="80"/>
      </w:pPr>
      <w:r>
        <w:rPr>
          <w:b/>
          <w:color w:val="0F2240"/>
        </w:rPr>
        <w:t xml:space="preserve">Focus: </w:t>
      </w:r>
      <w:r>
        <w:rPr>
          <w:i/>
        </w:rPr>
        <w:t>Automating core supply chain workflows, purchase order lifecycle, and stock tracking.</w:t>
      </w:r>
    </w:p>
    <w:p>
      <w:pPr>
        <w:spacing w:after="120"/>
      </w:pPr>
      <w:r>
        <w:rPr>
          <w:b/>
        </w:rPr>
        <w:t xml:space="preserve">Objective: </w:t>
      </w:r>
      <w:r>
        <w:t>Develop end-to-end management tools for requisitions, vendor proposals, purchase orders, inventory levels, and dispute tracking.</w:t>
      </w:r>
    </w:p>
    <w:p>
      <w:pPr>
        <w:spacing w:after="40"/>
      </w:pPr>
      <w:r>
        <w:rPr>
          <w:b/>
        </w:rPr>
        <w:t>Key Deliverables:</w:t>
      </w:r>
    </w:p>
    <w:p>
      <w:pPr>
        <w:pStyle w:val="ListBullet"/>
        <w:spacing w:after="40"/>
      </w:pPr>
      <w:r>
        <w:t>Vendor Directory &amp; Quotation Management Module.</w:t>
      </w:r>
    </w:p>
    <w:p>
      <w:pPr>
        <w:pStyle w:val="ListBullet"/>
        <w:spacing w:after="40"/>
      </w:pPr>
      <w:r>
        <w:t>Automated Requisition-to-Purchase-Order approval pipeline.</w:t>
      </w:r>
    </w:p>
    <w:p>
      <w:pPr>
        <w:pStyle w:val="ListBullet"/>
        <w:spacing w:after="40"/>
      </w:pPr>
      <w:r>
        <w:t>Multi-warehouse Inventory Tracker with real-time stock adjustments.</w:t>
      </w:r>
    </w:p>
    <w:p>
      <w:pPr>
        <w:pStyle w:val="ListBullet"/>
        <w:spacing w:after="40"/>
      </w:pPr>
      <w:r>
        <w:t>Logistics &amp; Returns Management system for logging damaged or disputed shipments.</w:t>
      </w:r>
    </w:p>
    <w:p>
      <w:pPr>
        <w:spacing w:before="80" w:after="40"/>
      </w:pPr>
      <w:r>
        <w:rPr>
          <w:b/>
        </w:rPr>
        <w:t>Acceptance &amp; Sign-off Criteria:</w:t>
      </w:r>
    </w:p>
    <w:p>
      <w:pPr>
        <w:pStyle w:val="ListBullet"/>
        <w:spacing w:after="40"/>
      </w:pPr>
      <w:r>
        <w:rPr>
          <w:b/>
          <w:color w:val="1E8C32"/>
        </w:rPr>
        <w:t xml:space="preserve">[✓] </w:t>
      </w:r>
      <w:r>
        <w:t>System successfully processes end-to-end Requisition -&gt; PO -&gt; Stock Receiving workflow.</w:t>
      </w:r>
    </w:p>
    <w:p>
      <w:pPr>
        <w:pStyle w:val="ListBullet"/>
        <w:spacing w:after="40"/>
      </w:pPr>
      <w:r>
        <w:rPr>
          <w:b/>
          <w:color w:val="1E8C32"/>
        </w:rPr>
        <w:t xml:space="preserve">[✓] </w:t>
      </w:r>
      <w:r>
        <w:t>Inventory updates automatically upon stock movement or dispute approval.</w:t>
      </w:r>
    </w:p>
    <w:p>
      <w:pPr>
        <w:pStyle w:val="ListBullet"/>
        <w:spacing w:after="40"/>
      </w:pPr>
      <w:r>
        <w:rPr>
          <w:b/>
          <w:color w:val="1E8C32"/>
        </w:rPr>
        <w:t xml:space="preserve">[✓] </w:t>
      </w:r>
      <w:r>
        <w:t>Multi-file attachment and CSV/Excel import validators function without memory leakage.</w:t>
      </w:r>
    </w:p>
    <w:p>
      <w:pPr>
        <w:spacing w:after="120"/>
      </w:pPr>
    </w:p>
    <w:p>
      <w:pPr>
        <w:pStyle w:val="Heading2"/>
      </w:pPr>
      <w:r>
        <w:rPr>
          <w:b/>
          <w:color w:val="1E5A96"/>
          <w:sz w:val="24"/>
        </w:rPr>
        <w:t>📌 Milestone 3: Financial Accounting, Loan Engine &amp; Audit Logging</w:t>
      </w:r>
    </w:p>
    <w:p>
      <w:pPr>
        <w:spacing w:after="80"/>
      </w:pPr>
      <w:r>
        <w:rPr>
          <w:b/>
          <w:color w:val="0F2240"/>
        </w:rPr>
        <w:t xml:space="preserve">Focus: </w:t>
      </w:r>
      <w:r>
        <w:rPr>
          <w:i/>
        </w:rPr>
        <w:t>Integrating monetary transactions, loan disbursements, and audit trails.</w:t>
      </w:r>
    </w:p>
    <w:p>
      <w:pPr>
        <w:spacing w:after="120"/>
      </w:pPr>
      <w:r>
        <w:rPr>
          <w:b/>
        </w:rPr>
        <w:t xml:space="preserve">Objective: </w:t>
      </w:r>
      <w:r>
        <w:t>Implement financial record-keeping, automated calculation engines, and system-wide action tracking for regulatory compliance.</w:t>
      </w:r>
    </w:p>
    <w:p>
      <w:pPr>
        <w:spacing w:after="40"/>
      </w:pPr>
      <w:r>
        <w:rPr>
          <w:b/>
        </w:rPr>
        <w:t>Key Deliverables:</w:t>
      </w:r>
    </w:p>
    <w:p>
      <w:pPr>
        <w:pStyle w:val="ListBullet"/>
        <w:spacing w:after="40"/>
      </w:pPr>
      <w:r>
        <w:t>Financial Ledger and Loan Management module supporting principal, interest, and payment tracking.</w:t>
      </w:r>
    </w:p>
    <w:p>
      <w:pPr>
        <w:pStyle w:val="ListBullet"/>
        <w:spacing w:after="40"/>
      </w:pPr>
      <w:r>
        <w:t>Accounts Payable / Accounts Receivable tracking synced with PO status updates.</w:t>
      </w:r>
    </w:p>
    <w:p>
      <w:pPr>
        <w:pStyle w:val="ListBullet"/>
        <w:spacing w:after="40"/>
      </w:pPr>
      <w:r>
        <w:t>Centralized Audit Trail logging user actions, IP addresses, timestamped state changes, and transactional diffs.</w:t>
      </w:r>
    </w:p>
    <w:p>
      <w:pPr>
        <w:pStyle w:val="ListBullet"/>
        <w:spacing w:after="40"/>
      </w:pPr>
      <w:r>
        <w:t>Dynamic Seeding Command (python manage.py seed_demo) for generating realistic financial and operational test scenarios.</w:t>
      </w:r>
    </w:p>
    <w:p>
      <w:pPr>
        <w:spacing w:before="80" w:after="40"/>
      </w:pPr>
      <w:r>
        <w:rPr>
          <w:b/>
        </w:rPr>
        <w:t>Acceptance &amp; Sign-off Criteria:</w:t>
      </w:r>
    </w:p>
    <w:p>
      <w:pPr>
        <w:pStyle w:val="ListBullet"/>
        <w:spacing w:after="40"/>
      </w:pPr>
      <w:r>
        <w:rPr>
          <w:b/>
          <w:color w:val="1E8C32"/>
        </w:rPr>
        <w:t xml:space="preserve">[✓] </w:t>
      </w:r>
      <w:r>
        <w:t>Financial calculation logic verified for edge cases (zero interest, early repayment, overpayments).</w:t>
      </w:r>
    </w:p>
    <w:p>
      <w:pPr>
        <w:pStyle w:val="ListBullet"/>
        <w:spacing w:after="40"/>
      </w:pPr>
      <w:r>
        <w:rPr>
          <w:b/>
          <w:color w:val="1E8C32"/>
        </w:rPr>
        <w:t xml:space="preserve">[✓] </w:t>
      </w:r>
      <w:r>
        <w:t>Audit logs record all CREATE, UPDATE, and DELETE events across critical models.</w:t>
      </w:r>
    </w:p>
    <w:p>
      <w:pPr>
        <w:pStyle w:val="ListBullet"/>
        <w:spacing w:after="40"/>
      </w:pPr>
      <w:r>
        <w:rPr>
          <w:b/>
          <w:color w:val="1E8C32"/>
        </w:rPr>
        <w:t xml:space="preserve">[✓] </w:t>
      </w:r>
      <w:r>
        <w:t>Data seeding tool cleanly populates realistic demo environments without database integrity violations.</w:t>
      </w:r>
    </w:p>
    <w:p>
      <w:pPr>
        <w:spacing w:after="120"/>
      </w:pPr>
    </w:p>
    <w:p>
      <w:pPr>
        <w:pStyle w:val="Heading2"/>
      </w:pPr>
      <w:r>
        <w:rPr>
          <w:b/>
          <w:color w:val="1E5A96"/>
          <w:sz w:val="24"/>
        </w:rPr>
        <w:t>📌 Milestone 4: User Interface, Accessibility &amp; Theme System Refinement</w:t>
      </w:r>
    </w:p>
    <w:p>
      <w:pPr>
        <w:spacing w:after="80"/>
      </w:pPr>
      <w:r>
        <w:rPr>
          <w:b/>
          <w:color w:val="0F2240"/>
        </w:rPr>
        <w:t xml:space="preserve">Focus: </w:t>
      </w:r>
      <w:r>
        <w:rPr>
          <w:i/>
        </w:rPr>
        <w:t>Delivering a high-impact, modern visual aesthetic with seamless Light/Dark mode toggling.</w:t>
      </w:r>
    </w:p>
    <w:p>
      <w:pPr>
        <w:spacing w:after="120"/>
      </w:pPr>
      <w:r>
        <w:rPr>
          <w:b/>
        </w:rPr>
        <w:t xml:space="preserve">Objective: </w:t>
      </w:r>
      <w:r>
        <w:t>Polish the web application user interface to deliver an enterprise-grade experience adhering to accessibility standards.</w:t>
      </w:r>
    </w:p>
    <w:p>
      <w:pPr>
        <w:spacing w:after="40"/>
      </w:pPr>
      <w:r>
        <w:rPr>
          <w:b/>
        </w:rPr>
        <w:t>Key Deliverables:</w:t>
      </w:r>
    </w:p>
    <w:p>
      <w:pPr>
        <w:pStyle w:val="ListBullet"/>
        <w:spacing w:after="40"/>
      </w:pPr>
      <w:r>
        <w:t>Modern CSS Tokens &amp; Palette (htc-theme.css) supporting dynamic variables for background, text, borders, and active highlights.</w:t>
      </w:r>
    </w:p>
    <w:p>
      <w:pPr>
        <w:pStyle w:val="ListBullet"/>
        <w:spacing w:after="40"/>
      </w:pPr>
      <w:r>
        <w:t>Seamless Theme Switcher maintaining session/local storage state across page reloads.</w:t>
      </w:r>
    </w:p>
    <w:p>
      <w:pPr>
        <w:pStyle w:val="ListBullet"/>
        <w:spacing w:after="40"/>
      </w:pPr>
      <w:r>
        <w:t>High-contrast UI components for tables, modals, badges, navigation sidebars, and analytical dashboards.</w:t>
      </w:r>
    </w:p>
    <w:p>
      <w:pPr>
        <w:pStyle w:val="ListBullet"/>
        <w:spacing w:after="40"/>
      </w:pPr>
      <w:r>
        <w:t>Asset cache-busting implementation (?v=11 asset versioning) to guarantee client-side CSS synchronization.</w:t>
      </w:r>
    </w:p>
    <w:p>
      <w:pPr>
        <w:spacing w:before="80" w:after="40"/>
      </w:pPr>
      <w:r>
        <w:rPr>
          <w:b/>
        </w:rPr>
        <w:t>Acceptance &amp; Sign-off Criteria:</w:t>
      </w:r>
    </w:p>
    <w:p>
      <w:pPr>
        <w:pStyle w:val="ListBullet"/>
        <w:spacing w:after="40"/>
      </w:pPr>
      <w:r>
        <w:rPr>
          <w:b/>
          <w:color w:val="1E8C32"/>
        </w:rPr>
        <w:t xml:space="preserve">[✓] </w:t>
      </w:r>
      <w:r>
        <w:t>Zero white-washing or unreadable text when toggled into Dark Mode.</w:t>
      </w:r>
    </w:p>
    <w:p>
      <w:pPr>
        <w:pStyle w:val="ListBullet"/>
        <w:spacing w:after="40"/>
      </w:pPr>
      <w:r>
        <w:rPr>
          <w:b/>
          <w:color w:val="1E8C32"/>
        </w:rPr>
        <w:t xml:space="preserve">[✓] </w:t>
      </w:r>
      <w:r>
        <w:t>Active row selections, form controls, and badges display WCAG-compliant contrast ratios in both themes.</w:t>
      </w:r>
    </w:p>
    <w:p>
      <w:pPr>
        <w:pStyle w:val="ListBullet"/>
        <w:spacing w:after="40"/>
      </w:pPr>
      <w:r>
        <w:rPr>
          <w:b/>
          <w:color w:val="1E8C32"/>
        </w:rPr>
        <w:t xml:space="preserve">[✓] </w:t>
      </w:r>
      <w:r>
        <w:t>Dynamic layouts adjust seamlessly across desktop and tablet screen dimensions.</w:t>
      </w:r>
    </w:p>
    <w:p>
      <w:pPr>
        <w:spacing w:after="120"/>
      </w:pPr>
    </w:p>
    <w:p>
      <w:pPr>
        <w:pStyle w:val="Heading2"/>
      </w:pPr>
      <w:r>
        <w:rPr>
          <w:b/>
          <w:color w:val="1E5A96"/>
          <w:sz w:val="24"/>
        </w:rPr>
        <w:t>📌 Milestone 5: Automated E2E Testing, Stress Testing (KaneAI) &amp; Security Hardening</w:t>
      </w:r>
    </w:p>
    <w:p>
      <w:pPr>
        <w:spacing w:after="80"/>
      </w:pPr>
      <w:r>
        <w:rPr>
          <w:b/>
          <w:color w:val="0F2240"/>
        </w:rPr>
        <w:t xml:space="preserve">Focus: </w:t>
      </w:r>
      <w:r>
        <w:rPr>
          <w:i/>
        </w:rPr>
        <w:t>Verifying stability under high load, edge-case vulnerability auditing, and automated regression testing.</w:t>
      </w:r>
    </w:p>
    <w:p>
      <w:pPr>
        <w:spacing w:after="120"/>
      </w:pPr>
      <w:r>
        <w:rPr>
          <w:b/>
        </w:rPr>
        <w:t xml:space="preserve">Objective: </w:t>
      </w:r>
      <w:r>
        <w:t>Leverage KaneAI (LambdaTest) cloud suite to subject core business functions to high-stress and multi-user concurrency testing.</w:t>
      </w:r>
    </w:p>
    <w:p>
      <w:pPr>
        <w:spacing w:after="40"/>
      </w:pPr>
      <w:r>
        <w:rPr>
          <w:b/>
        </w:rPr>
        <w:t>Key Deliverables:</w:t>
      </w:r>
    </w:p>
    <w:p>
      <w:pPr>
        <w:pStyle w:val="ListBullet"/>
        <w:spacing w:after="40"/>
      </w:pPr>
      <w:r>
        <w:t>Integrated KaneAI automated testing suites for core user flows (Purchase Order Creation, Dark Mode persistence, Loan Disbursements).</w:t>
      </w:r>
    </w:p>
    <w:p>
      <w:pPr>
        <w:pStyle w:val="ListBullet"/>
        <w:spacing w:after="40"/>
      </w:pPr>
      <w:r>
        <w:t>Concurrency &amp; Stress Testing scripts validating race condition protection during simultaneous stock updates.</w:t>
      </w:r>
    </w:p>
    <w:p>
      <w:pPr>
        <w:pStyle w:val="ListBullet"/>
        <w:spacing w:after="40"/>
      </w:pPr>
      <w:r>
        <w:t>Security Audit matrix covering XSS, CSRF protection, SQL injection resilience, and session fixation defense.</w:t>
      </w:r>
    </w:p>
    <w:p>
      <w:pPr>
        <w:spacing w:before="80" w:after="40"/>
      </w:pPr>
      <w:r>
        <w:rPr>
          <w:b/>
        </w:rPr>
        <w:t>Acceptance &amp; Sign-off Criteria:</w:t>
      </w:r>
    </w:p>
    <w:p>
      <w:pPr>
        <w:pStyle w:val="ListBullet"/>
        <w:spacing w:after="40"/>
      </w:pPr>
      <w:r>
        <w:rPr>
          <w:b/>
          <w:color w:val="1E8C32"/>
        </w:rPr>
        <w:t xml:space="preserve">[✓] </w:t>
      </w:r>
      <w:r>
        <w:t>All automated KaneAI end-to-end test scenarios achieve green pass status.</w:t>
      </w:r>
    </w:p>
    <w:p>
      <w:pPr>
        <w:pStyle w:val="ListBullet"/>
        <w:spacing w:after="40"/>
      </w:pPr>
      <w:r>
        <w:rPr>
          <w:b/>
          <w:color w:val="1E8C32"/>
        </w:rPr>
        <w:t xml:space="preserve">[✓] </w:t>
      </w:r>
      <w:r>
        <w:t>Core transaction pipelines maintain data integrity under simulated multi-user concurrent traffic.</w:t>
      </w:r>
    </w:p>
    <w:p>
      <w:pPr>
        <w:pStyle w:val="ListBullet"/>
        <w:spacing w:after="40"/>
      </w:pPr>
      <w:r>
        <w:rPr>
          <w:b/>
          <w:color w:val="1E8C32"/>
        </w:rPr>
        <w:t xml:space="preserve">[✓] </w:t>
      </w:r>
      <w:r>
        <w:t>Zero critical or high security vulnerabilities identified during code audit.</w:t>
      </w:r>
    </w:p>
    <w:p>
      <w:pPr>
        <w:spacing w:after="120"/>
      </w:pPr>
    </w:p>
    <w:p>
      <w:pPr>
        <w:pStyle w:val="Heading2"/>
      </w:pPr>
      <w:r>
        <w:rPr>
          <w:b/>
          <w:color w:val="1E5A96"/>
          <w:sz w:val="24"/>
        </w:rPr>
        <w:t>📌 Milestone 6: Infrastructure Containerization, AWS EC2 Cloud Deployment &amp; Final Handoff</w:t>
      </w:r>
    </w:p>
    <w:p>
      <w:pPr>
        <w:spacing w:after="80"/>
      </w:pPr>
      <w:r>
        <w:rPr>
          <w:b/>
          <w:color w:val="0F2240"/>
        </w:rPr>
        <w:t xml:space="preserve">Focus: </w:t>
      </w:r>
      <w:r>
        <w:rPr>
          <w:i/>
        </w:rPr>
        <w:t>Containerizing application stacks, orchestrating cloud deployment, and securing production endpoints.</w:t>
      </w:r>
    </w:p>
    <w:p>
      <w:pPr>
        <w:spacing w:after="120"/>
      </w:pPr>
      <w:r>
        <w:rPr>
          <w:b/>
        </w:rPr>
        <w:t xml:space="preserve">Objective: </w:t>
      </w:r>
      <w:r>
        <w:t>Deploy the HTC Core application to AWS Cloud infrastructure with production-ready reverse proxies, SSL/TLS, and automated container lifecycle management.</w:t>
      </w:r>
    </w:p>
    <w:p>
      <w:pPr>
        <w:spacing w:after="40"/>
      </w:pPr>
      <w:r>
        <w:rPr>
          <w:b/>
        </w:rPr>
        <w:t>Key Deliverables:</w:t>
      </w:r>
    </w:p>
    <w:p>
      <w:pPr>
        <w:pStyle w:val="ListBullet"/>
        <w:spacing w:after="40"/>
      </w:pPr>
      <w:r>
        <w:t>Production Docker configuration (Docker-compose.yml, Dockerfile) encapsulating Django, Gunicorn, PostgreSQL, and Nginx.</w:t>
      </w:r>
    </w:p>
    <w:p>
      <w:pPr>
        <w:pStyle w:val="ListBullet"/>
        <w:spacing w:after="40"/>
      </w:pPr>
      <w:r>
        <w:t>AWS EC2 Cloud Instance provisioning with customized security groups and port forwarding (80/443).</w:t>
      </w:r>
    </w:p>
    <w:p>
      <w:pPr>
        <w:pStyle w:val="ListBullet"/>
        <w:spacing w:after="40"/>
      </w:pPr>
      <w:r>
        <w:t>Automated migration, static file collection, and superuser initialization scripts.</w:t>
      </w:r>
    </w:p>
    <w:p>
      <w:pPr>
        <w:pStyle w:val="ListBullet"/>
        <w:spacing w:after="40"/>
      </w:pPr>
      <w:r>
        <w:t>Production operational runbook detailing backup procedures, log rotation, and server reboot recovery.</w:t>
      </w:r>
    </w:p>
    <w:p>
      <w:pPr>
        <w:spacing w:before="80" w:after="40"/>
      </w:pPr>
      <w:r>
        <w:rPr>
          <w:b/>
        </w:rPr>
        <w:t>Acceptance &amp; Sign-off Criteria:</w:t>
      </w:r>
    </w:p>
    <w:p>
      <w:pPr>
        <w:pStyle w:val="ListBullet"/>
        <w:spacing w:after="40"/>
      </w:pPr>
      <w:r>
        <w:rPr>
          <w:b/>
          <w:color w:val="1E8C32"/>
        </w:rPr>
        <w:t xml:space="preserve">[✓] </w:t>
      </w:r>
      <w:r>
        <w:t>Application successfully hosted and accessible on live AWS EC2 IP / Domain with sub-second response times.</w:t>
      </w:r>
    </w:p>
    <w:p>
      <w:pPr>
        <w:pStyle w:val="ListBullet"/>
        <w:spacing w:after="40"/>
      </w:pPr>
      <w:r>
        <w:rPr>
          <w:b/>
          <w:color w:val="1E8C32"/>
        </w:rPr>
        <w:t xml:space="preserve">[✓] </w:t>
      </w:r>
      <w:r>
        <w:t>Production database isolated and persistent across container restarts.</w:t>
      </w:r>
    </w:p>
    <w:p>
      <w:pPr>
        <w:pStyle w:val="ListBullet"/>
        <w:spacing w:after="40"/>
      </w:pPr>
      <w:r>
        <w:rPr>
          <w:b/>
          <w:color w:val="1E8C32"/>
        </w:rPr>
        <w:t xml:space="preserve">[✓] </w:t>
      </w:r>
      <w:r>
        <w:t>Final system walkthrough validated and signed off by stakeholders and academic project advisor.</w:t>
      </w:r>
    </w:p>
    <w:p>
      <w:pPr>
        <w:spacing w:after="120"/>
      </w:pPr>
    </w:p>
    <w:p>
      <w:pPr>
        <w:pStyle w:val="Heading1"/>
      </w:pPr>
      <w:r>
        <w:rPr>
          <w:b/>
          <w:color w:val="0F2240"/>
          <w:sz w:val="28"/>
        </w:rPr>
        <w:t>3. Milestone Summary &amp; Verification Matrix</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440"/>
            <w:shd w:fill="0F2240"/>
          </w:tcPr>
          <w:p>
            <w:pPr>
              <w:jc w:val="center"/>
            </w:pPr>
            <w:r>
              <w:rPr>
                <w:b/>
                <w:color w:val="FFFFFF"/>
                <w:sz w:val="19"/>
              </w:rPr>
              <w:t>Milestone</w:t>
            </w:r>
          </w:p>
        </w:tc>
        <w:tc>
          <w:tcPr>
            <w:tcW w:type="dxa" w:w="2016"/>
            <w:shd w:fill="0F2240"/>
          </w:tcPr>
          <w:p>
            <w:pPr>
              <w:jc w:val="center"/>
            </w:pPr>
            <w:r>
              <w:rPr>
                <w:b/>
                <w:color w:val="FFFFFF"/>
                <w:sz w:val="19"/>
              </w:rPr>
              <w:t>Deliverable Phase</w:t>
            </w:r>
          </w:p>
        </w:tc>
        <w:tc>
          <w:tcPr>
            <w:tcW w:type="dxa" w:w="2160"/>
            <w:shd w:fill="0F2240"/>
          </w:tcPr>
          <w:p>
            <w:pPr>
              <w:jc w:val="center"/>
            </w:pPr>
            <w:r>
              <w:rPr>
                <w:b/>
                <w:color w:val="FFFFFF"/>
                <w:sz w:val="19"/>
              </w:rPr>
              <w:t>Primary Target</w:t>
            </w:r>
          </w:p>
        </w:tc>
        <w:tc>
          <w:tcPr>
            <w:tcW w:type="dxa" w:w="2304"/>
            <w:shd w:fill="0F2240"/>
          </w:tcPr>
          <w:p>
            <w:pPr>
              <w:jc w:val="center"/>
            </w:pPr>
            <w:r>
              <w:rPr>
                <w:b/>
                <w:color w:val="FFFFFF"/>
                <w:sz w:val="19"/>
              </w:rPr>
              <w:t>Verification Method</w:t>
            </w:r>
          </w:p>
        </w:tc>
        <w:tc>
          <w:tcPr>
            <w:tcW w:type="dxa" w:w="1440"/>
            <w:shd w:fill="0F2240"/>
          </w:tcPr>
          <w:p>
            <w:pPr>
              <w:jc w:val="center"/>
            </w:pPr>
            <w:r>
              <w:rPr>
                <w:b/>
                <w:color w:val="FFFFFF"/>
                <w:sz w:val="19"/>
              </w:rPr>
              <w:t>Status</w:t>
            </w:r>
          </w:p>
        </w:tc>
      </w:tr>
      <w:tr>
        <w:tc>
          <w:tcPr>
            <w:tcW w:type="dxa" w:w="1440"/>
            <w:shd w:fill="FFFFFF"/>
          </w:tcPr>
          <w:p>
            <w:pPr>
              <w:jc w:val="center"/>
            </w:pPr>
            <w:r>
              <w:rPr>
                <w:sz w:val="18"/>
              </w:rPr>
              <w:t>M1</w:t>
            </w:r>
          </w:p>
        </w:tc>
        <w:tc>
          <w:tcPr>
            <w:tcW w:type="dxa" w:w="2016"/>
            <w:shd w:fill="FFFFFF"/>
          </w:tcPr>
          <w:p>
            <w:pPr>
              <w:jc w:val="left"/>
            </w:pPr>
            <w:r>
              <w:rPr>
                <w:sz w:val="18"/>
              </w:rPr>
              <w:t>Base Architecture &amp; Security</w:t>
            </w:r>
          </w:p>
        </w:tc>
        <w:tc>
          <w:tcPr>
            <w:tcW w:type="dxa" w:w="2160"/>
            <w:shd w:fill="FFFFFF"/>
          </w:tcPr>
          <w:p>
            <w:pPr>
              <w:jc w:val="left"/>
            </w:pPr>
            <w:r>
              <w:rPr>
                <w:sz w:val="18"/>
              </w:rPr>
              <w:t>System Core, Database Schema, RBAC</w:t>
            </w:r>
          </w:p>
        </w:tc>
        <w:tc>
          <w:tcPr>
            <w:tcW w:type="dxa" w:w="2304"/>
            <w:shd w:fill="FFFFFF"/>
          </w:tcPr>
          <w:p>
            <w:pPr>
              <w:jc w:val="left"/>
            </w:pPr>
            <w:r>
              <w:rPr>
                <w:sz w:val="18"/>
              </w:rPr>
              <w:t>Automated Tests &amp; Route Audits</w:t>
            </w:r>
          </w:p>
        </w:tc>
        <w:tc>
          <w:tcPr>
            <w:tcW w:type="dxa" w:w="1440"/>
            <w:shd w:fill="FFFFFF"/>
          </w:tcPr>
          <w:p>
            <w:pPr>
              <w:jc w:val="center"/>
            </w:pPr>
            <w:r>
              <w:rPr>
                <w:b/>
                <w:color w:val="147828"/>
                <w:sz w:val="18"/>
              </w:rPr>
              <w:t>COMPLETED</w:t>
            </w:r>
          </w:p>
        </w:tc>
      </w:tr>
      <w:tr>
        <w:tc>
          <w:tcPr>
            <w:tcW w:type="dxa" w:w="1440"/>
            <w:shd w:fill="F4F6F9"/>
          </w:tcPr>
          <w:p>
            <w:pPr>
              <w:jc w:val="center"/>
            </w:pPr>
            <w:r>
              <w:rPr>
                <w:sz w:val="18"/>
              </w:rPr>
              <w:t>M2</w:t>
            </w:r>
          </w:p>
        </w:tc>
        <w:tc>
          <w:tcPr>
            <w:tcW w:type="dxa" w:w="2016"/>
            <w:shd w:fill="F4F6F9"/>
          </w:tcPr>
          <w:p>
            <w:pPr>
              <w:jc w:val="left"/>
            </w:pPr>
            <w:r>
              <w:rPr>
                <w:sz w:val="18"/>
              </w:rPr>
              <w:t>Operations &amp; Logistics</w:t>
            </w:r>
          </w:p>
        </w:tc>
        <w:tc>
          <w:tcPr>
            <w:tcW w:type="dxa" w:w="2160"/>
            <w:shd w:fill="F4F6F9"/>
          </w:tcPr>
          <w:p>
            <w:pPr>
              <w:jc w:val="left"/>
            </w:pPr>
            <w:r>
              <w:rPr>
                <w:sz w:val="18"/>
              </w:rPr>
              <w:t>Procurement, POs, Inventory Tracking</w:t>
            </w:r>
          </w:p>
        </w:tc>
        <w:tc>
          <w:tcPr>
            <w:tcW w:type="dxa" w:w="2304"/>
            <w:shd w:fill="F4F6F9"/>
          </w:tcPr>
          <w:p>
            <w:pPr>
              <w:jc w:val="left"/>
            </w:pPr>
            <w:r>
              <w:rPr>
                <w:sz w:val="18"/>
              </w:rPr>
              <w:t>End-to-End Workflow Verification</w:t>
            </w:r>
          </w:p>
        </w:tc>
        <w:tc>
          <w:tcPr>
            <w:tcW w:type="dxa" w:w="1440"/>
            <w:shd w:fill="F4F6F9"/>
          </w:tcPr>
          <w:p>
            <w:pPr>
              <w:jc w:val="center"/>
            </w:pPr>
            <w:r>
              <w:rPr>
                <w:b/>
                <w:color w:val="147828"/>
                <w:sz w:val="18"/>
              </w:rPr>
              <w:t>COMPLETED</w:t>
            </w:r>
          </w:p>
        </w:tc>
      </w:tr>
      <w:tr>
        <w:tc>
          <w:tcPr>
            <w:tcW w:type="dxa" w:w="1440"/>
            <w:shd w:fill="FFFFFF"/>
          </w:tcPr>
          <w:p>
            <w:pPr>
              <w:jc w:val="center"/>
            </w:pPr>
            <w:r>
              <w:rPr>
                <w:sz w:val="18"/>
              </w:rPr>
              <w:t>M3</w:t>
            </w:r>
          </w:p>
        </w:tc>
        <w:tc>
          <w:tcPr>
            <w:tcW w:type="dxa" w:w="2016"/>
            <w:shd w:fill="FFFFFF"/>
          </w:tcPr>
          <w:p>
            <w:pPr>
              <w:jc w:val="left"/>
            </w:pPr>
            <w:r>
              <w:rPr>
                <w:sz w:val="18"/>
              </w:rPr>
              <w:t>Finance &amp; Audit Engine</w:t>
            </w:r>
          </w:p>
        </w:tc>
        <w:tc>
          <w:tcPr>
            <w:tcW w:type="dxa" w:w="2160"/>
            <w:shd w:fill="FFFFFF"/>
          </w:tcPr>
          <w:p>
            <w:pPr>
              <w:jc w:val="left"/>
            </w:pPr>
            <w:r>
              <w:rPr>
                <w:sz w:val="18"/>
              </w:rPr>
              <w:t>Loans, Ledger, Activity Auditing</w:t>
            </w:r>
          </w:p>
        </w:tc>
        <w:tc>
          <w:tcPr>
            <w:tcW w:type="dxa" w:w="2304"/>
            <w:shd w:fill="FFFFFF"/>
          </w:tcPr>
          <w:p>
            <w:pPr>
              <w:jc w:val="left"/>
            </w:pPr>
            <w:r>
              <w:rPr>
                <w:sz w:val="18"/>
              </w:rPr>
              <w:t>Calculation Audits &amp; Seed Script</w:t>
            </w:r>
          </w:p>
        </w:tc>
        <w:tc>
          <w:tcPr>
            <w:tcW w:type="dxa" w:w="1440"/>
            <w:shd w:fill="FFFFFF"/>
          </w:tcPr>
          <w:p>
            <w:pPr>
              <w:jc w:val="center"/>
            </w:pPr>
            <w:r>
              <w:rPr>
                <w:b/>
                <w:color w:val="147828"/>
                <w:sz w:val="18"/>
              </w:rPr>
              <w:t>COMPLETED</w:t>
            </w:r>
          </w:p>
        </w:tc>
      </w:tr>
      <w:tr>
        <w:tc>
          <w:tcPr>
            <w:tcW w:type="dxa" w:w="1440"/>
            <w:shd w:fill="F4F6F9"/>
          </w:tcPr>
          <w:p>
            <w:pPr>
              <w:jc w:val="center"/>
            </w:pPr>
            <w:r>
              <w:rPr>
                <w:sz w:val="18"/>
              </w:rPr>
              <w:t>M4</w:t>
            </w:r>
          </w:p>
        </w:tc>
        <w:tc>
          <w:tcPr>
            <w:tcW w:type="dxa" w:w="2016"/>
            <w:shd w:fill="F4F6F9"/>
          </w:tcPr>
          <w:p>
            <w:pPr>
              <w:jc w:val="left"/>
            </w:pPr>
            <w:r>
              <w:rPr>
                <w:sz w:val="18"/>
              </w:rPr>
              <w:t>UI/UX &amp; Dark Mode Theme</w:t>
            </w:r>
          </w:p>
        </w:tc>
        <w:tc>
          <w:tcPr>
            <w:tcW w:type="dxa" w:w="2160"/>
            <w:shd w:fill="F4F6F9"/>
          </w:tcPr>
          <w:p>
            <w:pPr>
              <w:jc w:val="left"/>
            </w:pPr>
            <w:r>
              <w:rPr>
                <w:sz w:val="18"/>
              </w:rPr>
              <w:t>Modern Design System, Cache Busting</w:t>
            </w:r>
          </w:p>
        </w:tc>
        <w:tc>
          <w:tcPr>
            <w:tcW w:type="dxa" w:w="2304"/>
            <w:shd w:fill="F4F6F9"/>
          </w:tcPr>
          <w:p>
            <w:pPr>
              <w:jc w:val="left"/>
            </w:pPr>
            <w:r>
              <w:rPr>
                <w:sz w:val="18"/>
              </w:rPr>
              <w:t>UI/UX Contrast &amp; Browser Audits</w:t>
            </w:r>
          </w:p>
        </w:tc>
        <w:tc>
          <w:tcPr>
            <w:tcW w:type="dxa" w:w="1440"/>
            <w:shd w:fill="F4F6F9"/>
          </w:tcPr>
          <w:p>
            <w:pPr>
              <w:jc w:val="center"/>
            </w:pPr>
            <w:r>
              <w:rPr>
                <w:b/>
                <w:color w:val="147828"/>
                <w:sz w:val="18"/>
              </w:rPr>
              <w:t>COMPLETED</w:t>
            </w:r>
          </w:p>
        </w:tc>
      </w:tr>
      <w:tr>
        <w:tc>
          <w:tcPr>
            <w:tcW w:type="dxa" w:w="1440"/>
            <w:shd w:fill="FFFFFF"/>
          </w:tcPr>
          <w:p>
            <w:pPr>
              <w:jc w:val="center"/>
            </w:pPr>
            <w:r>
              <w:rPr>
                <w:sz w:val="18"/>
              </w:rPr>
              <w:t>M5</w:t>
            </w:r>
          </w:p>
        </w:tc>
        <w:tc>
          <w:tcPr>
            <w:tcW w:type="dxa" w:w="2016"/>
            <w:shd w:fill="FFFFFF"/>
          </w:tcPr>
          <w:p>
            <w:pPr>
              <w:jc w:val="left"/>
            </w:pPr>
            <w:r>
              <w:rPr>
                <w:sz w:val="18"/>
              </w:rPr>
              <w:t>KaneAI E2E &amp; Stress Test</w:t>
            </w:r>
          </w:p>
        </w:tc>
        <w:tc>
          <w:tcPr>
            <w:tcW w:type="dxa" w:w="2160"/>
            <w:shd w:fill="FFFFFF"/>
          </w:tcPr>
          <w:p>
            <w:pPr>
              <w:jc w:val="left"/>
            </w:pPr>
            <w:r>
              <w:rPr>
                <w:sz w:val="18"/>
              </w:rPr>
              <w:t>Automated Suites, Concurrency</w:t>
            </w:r>
          </w:p>
        </w:tc>
        <w:tc>
          <w:tcPr>
            <w:tcW w:type="dxa" w:w="2304"/>
            <w:shd w:fill="FFFFFF"/>
          </w:tcPr>
          <w:p>
            <w:pPr>
              <w:jc w:val="left"/>
            </w:pPr>
            <w:r>
              <w:rPr>
                <w:sz w:val="18"/>
              </w:rPr>
              <w:t>KaneAI Cloud Runner Execution</w:t>
            </w:r>
          </w:p>
        </w:tc>
        <w:tc>
          <w:tcPr>
            <w:tcW w:type="dxa" w:w="1440"/>
            <w:shd w:fill="FFFFFF"/>
          </w:tcPr>
          <w:p>
            <w:pPr>
              <w:jc w:val="center"/>
            </w:pPr>
            <w:r>
              <w:rPr>
                <w:b/>
                <w:color w:val="147828"/>
                <w:sz w:val="18"/>
              </w:rPr>
              <w:t>COMPLETED</w:t>
            </w:r>
          </w:p>
        </w:tc>
      </w:tr>
      <w:tr>
        <w:tc>
          <w:tcPr>
            <w:tcW w:type="dxa" w:w="1440"/>
            <w:shd w:fill="F4F6F9"/>
          </w:tcPr>
          <w:p>
            <w:pPr>
              <w:jc w:val="center"/>
            </w:pPr>
            <w:r>
              <w:rPr>
                <w:sz w:val="18"/>
              </w:rPr>
              <w:t>M6</w:t>
            </w:r>
          </w:p>
        </w:tc>
        <w:tc>
          <w:tcPr>
            <w:tcW w:type="dxa" w:w="2016"/>
            <w:shd w:fill="F4F6F9"/>
          </w:tcPr>
          <w:p>
            <w:pPr>
              <w:jc w:val="left"/>
            </w:pPr>
            <w:r>
              <w:rPr>
                <w:sz w:val="18"/>
              </w:rPr>
              <w:t>AWS EC2 Cloud Deployment</w:t>
            </w:r>
          </w:p>
        </w:tc>
        <w:tc>
          <w:tcPr>
            <w:tcW w:type="dxa" w:w="2160"/>
            <w:shd w:fill="F4F6F9"/>
          </w:tcPr>
          <w:p>
            <w:pPr>
              <w:jc w:val="left"/>
            </w:pPr>
            <w:r>
              <w:rPr>
                <w:sz w:val="18"/>
              </w:rPr>
              <w:t>Docker, Nginx, Production Handoff</w:t>
            </w:r>
          </w:p>
        </w:tc>
        <w:tc>
          <w:tcPr>
            <w:tcW w:type="dxa" w:w="2304"/>
            <w:shd w:fill="F4F6F9"/>
          </w:tcPr>
          <w:p>
            <w:pPr>
              <w:jc w:val="left"/>
            </w:pPr>
            <w:r>
              <w:rPr>
                <w:sz w:val="18"/>
              </w:rPr>
              <w:t>Live EC2 Smoke Test &amp; Review</w:t>
            </w:r>
          </w:p>
        </w:tc>
        <w:tc>
          <w:tcPr>
            <w:tcW w:type="dxa" w:w="1440"/>
            <w:shd w:fill="F4F6F9"/>
          </w:tcPr>
          <w:p>
            <w:pPr>
              <w:jc w:val="center"/>
            </w:pPr>
            <w:r>
              <w:rPr>
                <w:b/>
                <w:color w:val="1E5AB4"/>
                <w:sz w:val="18"/>
              </w:rPr>
              <w:t>FINAL SIGN-OFF</w:t>
            </w:r>
          </w:p>
        </w:tc>
      </w:tr>
    </w:tbl>
    <w:p>
      <w:pPr>
        <w:spacing w:after="360"/>
      </w:pPr>
    </w:p>
    <w:p>
      <w:pPr>
        <w:pStyle w:val="Heading1"/>
      </w:pPr>
      <w:r>
        <w:rPr>
          <w:b/>
          <w:color w:val="0F2240"/>
          <w:sz w:val="28"/>
        </w:rPr>
        <w:t>4. Stakeholder &amp; Panelist Approval Sign-Off</w:t>
      </w:r>
    </w:p>
    <w:p>
      <w:pPr>
        <w:spacing w:after="240"/>
      </w:pPr>
      <w:r>
        <w:t>By signing below, the undersigned stakeholders, project advisers, and evaluation panelists confirm that the milestone deliverables detailed above have been reviewed, demonstrated, and accepted in full according to specified project standards.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04"/>
            <w:shd w:fill="1E5A96"/>
          </w:tcPr>
          <w:p>
            <w:pPr>
              <w:jc w:val="center"/>
            </w:pPr>
            <w:r>
              <w:rPr>
                <w:b/>
                <w:color w:val="FFFFFF"/>
                <w:sz w:val="19"/>
              </w:rPr>
              <w:t>Stakeholder Role</w:t>
            </w:r>
          </w:p>
        </w:tc>
        <w:tc>
          <w:tcPr>
            <w:tcW w:type="dxa" w:w="2880"/>
            <w:shd w:fill="1E5A96"/>
          </w:tcPr>
          <w:p>
            <w:pPr>
              <w:jc w:val="center"/>
            </w:pPr>
            <w:r>
              <w:rPr>
                <w:b/>
                <w:color w:val="FFFFFF"/>
                <w:sz w:val="19"/>
              </w:rPr>
              <w:t>Name &amp; Title</w:t>
            </w:r>
          </w:p>
        </w:tc>
        <w:tc>
          <w:tcPr>
            <w:tcW w:type="dxa" w:w="2304"/>
            <w:shd w:fill="1E5A96"/>
          </w:tcPr>
          <w:p>
            <w:pPr>
              <w:jc w:val="center"/>
            </w:pPr>
            <w:r>
              <w:rPr>
                <w:b/>
                <w:color w:val="FFFFFF"/>
                <w:sz w:val="19"/>
              </w:rPr>
              <w:t>Signature</w:t>
            </w:r>
          </w:p>
        </w:tc>
        <w:tc>
          <w:tcPr>
            <w:tcW w:type="dxa" w:w="1872"/>
            <w:shd w:fill="1E5A96"/>
          </w:tcPr>
          <w:p>
            <w:pPr>
              <w:jc w:val="center"/>
            </w:pPr>
            <w:r>
              <w:rPr>
                <w:b/>
                <w:color w:val="FFFFFF"/>
                <w:sz w:val="19"/>
              </w:rPr>
              <w:t>Date</w:t>
            </w:r>
          </w:p>
        </w:tc>
      </w:tr>
      <w:tr>
        <w:tc>
          <w:tcPr>
            <w:tcW w:type="dxa" w:w="2340"/>
            <w:shd w:fill="F4F6F9"/>
          </w:tcPr>
          <w:p>
            <w:r>
              <w:rPr>
                <w:b/>
                <w:sz w:val="19"/>
              </w:rPr>
              <w:t>Lead Capstone Adviser</w:t>
            </w:r>
          </w:p>
        </w:tc>
        <w:tc>
          <w:tcPr>
            <w:tcW w:type="dxa" w:w="2880"/>
          </w:tcPr>
          <w:p>
            <w:r/>
          </w:p>
        </w:tc>
        <w:tc>
          <w:tcPr>
            <w:tcW w:type="dxa" w:w="2304"/>
          </w:tcPr>
          <w:p>
            <w:r/>
          </w:p>
        </w:tc>
        <w:tc>
          <w:tcPr>
            <w:tcW w:type="dxa" w:w="1872"/>
          </w:tcPr>
          <w:p>
            <w:r/>
          </w:p>
        </w:tc>
      </w:tr>
      <w:tr>
        <w:tc>
          <w:tcPr>
            <w:tcW w:type="dxa" w:w="2340"/>
            <w:shd w:fill="F4F6F9"/>
          </w:tcPr>
          <w:p>
            <w:r>
              <w:rPr>
                <w:b/>
                <w:sz w:val="19"/>
              </w:rPr>
              <w:t>Panelist Evaluator 1</w:t>
            </w:r>
          </w:p>
        </w:tc>
        <w:tc>
          <w:tcPr>
            <w:tcW w:type="dxa" w:w="2880"/>
          </w:tcPr>
          <w:p>
            <w:r/>
          </w:p>
        </w:tc>
        <w:tc>
          <w:tcPr>
            <w:tcW w:type="dxa" w:w="2304"/>
          </w:tcPr>
          <w:p>
            <w:r/>
          </w:p>
        </w:tc>
        <w:tc>
          <w:tcPr>
            <w:tcW w:type="dxa" w:w="1872"/>
          </w:tcPr>
          <w:p>
            <w:r/>
          </w:p>
        </w:tc>
      </w:tr>
      <w:tr>
        <w:tc>
          <w:tcPr>
            <w:tcW w:type="dxa" w:w="2340"/>
            <w:shd w:fill="F4F6F9"/>
          </w:tcPr>
          <w:p>
            <w:r>
              <w:rPr>
                <w:b/>
                <w:sz w:val="19"/>
              </w:rPr>
              <w:t>Panelist Evaluator 2</w:t>
            </w:r>
          </w:p>
        </w:tc>
        <w:tc>
          <w:tcPr>
            <w:tcW w:type="dxa" w:w="2880"/>
          </w:tcPr>
          <w:p>
            <w:r/>
          </w:p>
        </w:tc>
        <w:tc>
          <w:tcPr>
            <w:tcW w:type="dxa" w:w="2304"/>
          </w:tcPr>
          <w:p>
            <w:r/>
          </w:p>
        </w:tc>
        <w:tc>
          <w:tcPr>
            <w:tcW w:type="dxa" w:w="1872"/>
          </w:tcPr>
          <w:p>
            <w:r/>
          </w:p>
        </w:tc>
      </w:tr>
      <w:tr>
        <w:tc>
          <w:tcPr>
            <w:tcW w:type="dxa" w:w="2340"/>
            <w:shd w:fill="F4F6F9"/>
          </w:tcPr>
          <w:p>
            <w:r>
              <w:rPr>
                <w:b/>
                <w:sz w:val="19"/>
              </w:rPr>
              <w:t>Lead Developer / Author</w:t>
            </w:r>
          </w:p>
        </w:tc>
        <w:tc>
          <w:tcPr>
            <w:tcW w:type="dxa" w:w="2880"/>
          </w:tcPr>
          <w:p>
            <w:r/>
          </w:p>
        </w:tc>
        <w:tc>
          <w:tcPr>
            <w:tcW w:type="dxa" w:w="2304"/>
          </w:tcPr>
          <w:p>
            <w:r/>
          </w:p>
        </w:tc>
        <w:tc>
          <w:tcPr>
            <w:tcW w:type="dxa" w:w="1872"/>
          </w:tcPr>
          <w:p>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828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