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50" w:lineRule="auto"/>
        <w:jc w:val="center"/>
        <w:rPr>
          <w:rFonts w:ascii="Arial" w:cs="Arial" w:eastAsia="Arial" w:hAnsi="Arial"/>
          <w:color w:val="1a1a1a"/>
        </w:rPr>
      </w:pPr>
      <w:r w:rsidDel="00000000" w:rsidR="00000000" w:rsidRPr="00000000">
        <w:rPr>
          <w:rFonts w:ascii="Arial" w:cs="Arial" w:eastAsia="Arial" w:hAnsi="Arial"/>
          <w:color w:val="1a1a1a"/>
          <w:rtl w:val="0"/>
        </w:rPr>
        <w:t xml:space="preserve">COLEGIO Y ESCUELA TÉCNICA SAGRADO CORAZÓN DE JESÚS – SALESIANITO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b33918"/>
          <w:sz w:val="32"/>
          <w:szCs w:val="32"/>
        </w:rPr>
      </w:pPr>
      <w:r w:rsidDel="00000000" w:rsidR="00000000" w:rsidRPr="00000000">
        <w:rPr>
          <w:rFonts w:ascii="Arial" w:cs="Arial" w:eastAsia="Arial" w:hAnsi="Arial"/>
          <w:b w:val="1"/>
          <w:bCs w:val="1"/>
          <w:color w:val="b33918"/>
          <w:sz w:val="32"/>
          <w:szCs w:val="32"/>
          <w:rtl w:val="0"/>
        </w:rPr>
        <w:t xml:space="preserve">SISTEMA TECNOLÓGICO INTEGRADO DE MONITOREO TÉRMICO Y ASISTENCIA CONVERSACIONAL MEDIANTE 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0" w:lineRule="auto"/>
        <w:jc w:val="center"/>
        <w:rPr>
          <w:rFonts w:ascii="Arial" w:cs="Arial" w:eastAsia="Arial" w:hAnsi="Arial"/>
          <w:b w:val="1"/>
          <w:bCs w:val="1"/>
          <w:color w:val="b33918"/>
          <w:sz w:val="32"/>
          <w:szCs w:val="32"/>
        </w:rPr>
      </w:pPr>
      <w:r w:rsidDel="00000000" w:rsidR="00000000" w:rsidRPr="00000000">
        <w:rPr>
          <w:rFonts w:ascii="Arial" w:cs="Arial" w:eastAsia="Arial" w:hAnsi="Arial"/>
          <w:b w:val="1"/>
          <w:bCs w:val="1"/>
          <w:color w:val="b33918"/>
          <w:sz w:val="32"/>
          <w:szCs w:val="32"/>
          <w:rtl w:val="0"/>
        </w:rPr>
        <w:t xml:space="preserve">(Parr-IA)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0" w:lineRule="auto"/>
        <w:jc w:val="center"/>
        <w:rPr>
          <w:rFonts w:ascii="Arial" w:cs="Arial" w:eastAsia="Arial" w:hAnsi="Arial"/>
          <w:b w:val="1"/>
          <w:bCs w:val="1"/>
          <w:color w:val="b33918"/>
          <w:sz w:val="32"/>
          <w:szCs w:val="3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 w:line="300" w:lineRule="auto"/>
        <w:jc w:val="center"/>
        <w:rPr>
          <w:rFonts w:ascii="Arial" w:cs="Arial" w:eastAsia="Arial" w:hAnsi="Arial"/>
        </w:rPr>
      </w:pPr>
      <w:r w:rsidDel="00000000" w:rsidR="00000000" w:rsidRPr="00000000">
        <w:rPr>
          <w:rFonts w:ascii="Arial" w:cs="Arial" w:eastAsia="Arial" w:hAnsi="Arial"/>
          <w:rtl w:val="0"/>
        </w:rPr>
        <w:t xml:space="preserve">Thiago González</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 w:line="300" w:lineRule="auto"/>
        <w:jc w:val="center"/>
        <w:rPr>
          <w:rFonts w:ascii="Arial" w:cs="Arial" w:eastAsia="Arial" w:hAnsi="Arial"/>
        </w:rPr>
      </w:pPr>
      <w:r w:rsidDel="00000000" w:rsidR="00000000" w:rsidRPr="00000000">
        <w:rPr>
          <w:rFonts w:ascii="Arial" w:cs="Arial" w:eastAsia="Arial" w:hAnsi="Arial"/>
          <w:rtl w:val="0"/>
        </w:rPr>
        <w:t xml:space="preserve">Oscar Fernández</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 w:line="300" w:lineRule="auto"/>
        <w:jc w:val="center"/>
        <w:rPr>
          <w:rFonts w:ascii="Arial" w:cs="Arial" w:eastAsia="Arial" w:hAnsi="Arial"/>
        </w:rPr>
      </w:pPr>
      <w:r w:rsidDel="00000000" w:rsidR="00000000" w:rsidRPr="00000000">
        <w:rPr>
          <w:rFonts w:ascii="Arial" w:cs="Arial" w:eastAsia="Arial" w:hAnsi="Arial"/>
          <w:rtl w:val="0"/>
        </w:rPr>
        <w:t xml:space="preserve">Tobías Páez</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 w:line="300" w:lineRule="auto"/>
        <w:jc w:val="center"/>
        <w:rPr>
          <w:rFonts w:ascii="Arial" w:cs="Arial" w:eastAsia="Arial" w:hAnsi="Arial"/>
        </w:rPr>
      </w:pPr>
      <w:r w:rsidDel="00000000" w:rsidR="00000000" w:rsidRPr="00000000">
        <w:rPr>
          <w:rFonts w:ascii="Arial" w:cs="Arial" w:eastAsia="Arial" w:hAnsi="Arial"/>
          <w:rtl w:val="0"/>
        </w:rPr>
        <w:t xml:space="preserve">Augusto Riquelme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 2.º | </w:t>
      </w:r>
      <w:r w:rsidDel="00000000" w:rsidR="00000000" w:rsidRPr="00000000">
        <w:rPr>
          <w:rFonts w:ascii="Arial" w:cs="Arial" w:eastAsia="Arial" w:hAnsi="Arial"/>
          <w:b w:val="1"/>
          <w:bCs w:val="1"/>
          <w:rtl w:val="0"/>
        </w:rPr>
        <w:t xml:space="preserve">Especialidad:</w:t>
      </w:r>
      <w:r w:rsidDel="00000000" w:rsidR="00000000" w:rsidRPr="00000000">
        <w:rPr>
          <w:rFonts w:ascii="Arial" w:cs="Arial" w:eastAsia="Arial" w:hAnsi="Arial"/>
          <w:rtl w:val="0"/>
        </w:rPr>
        <w:t xml:space="preserve"> Informática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60" w:line="300" w:lineRule="auto"/>
        <w:jc w:val="center"/>
        <w:rPr>
          <w:rFonts w:ascii="Arial" w:cs="Arial" w:eastAsia="Arial" w:hAnsi="Arial"/>
        </w:rPr>
      </w:pPr>
      <w:r w:rsidDel="00000000" w:rsidR="00000000" w:rsidRPr="00000000">
        <w:rPr>
          <w:rFonts w:ascii="Arial" w:cs="Arial" w:eastAsia="Arial" w:hAnsi="Arial"/>
          <w:b w:val="1"/>
          <w:bCs w:val="1"/>
          <w:rtl w:val="0"/>
        </w:rPr>
        <w:t xml:space="preserve">Ciudad y Año:</w:t>
      </w:r>
      <w:r w:rsidDel="00000000" w:rsidR="00000000" w:rsidRPr="00000000">
        <w:rPr>
          <w:rFonts w:ascii="Arial" w:cs="Arial" w:eastAsia="Arial" w:hAnsi="Arial"/>
          <w:rtl w:val="0"/>
        </w:rPr>
        <w:t xml:space="preserve"> Asunción – 2026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rPr>
          <w:rFonts w:ascii="Arial" w:cs="Arial" w:eastAsia="Arial" w:hAnsi="Arial"/>
          <w:color w:val="1a1a1a"/>
        </w:rPr>
      </w:pPr>
      <w:r w:rsidDel="00000000" w:rsidR="00000000" w:rsidRPr="00000000">
        <w:rPr>
          <w:rFonts w:ascii="Arial" w:cs="Arial" w:eastAsia="Arial" w:hAnsi="Arial"/>
          <w:color w:val="1a1a1a"/>
          <w:rtl w:val="0"/>
        </w:rPr>
        <w:t xml:space="preserve">CAPÍTULO 4: INTRODUCCIÓN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4.1 Presentación y Contextualización del Tema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La preparación de alimentos a la parrilla representa una práctica culinaria y cultural fuertemente arraigada en la sociedad. Sin embargo, el control del proceso de cocción de cortes cárnicos históricamente se ha fundamentado en el empirismo, el uso de estimaciones informales de tiempo y la evaluación organoléptica superficial (como la inspección visual del color externo o la presión táctil). Si bien dichos métodos tradicionales forman parte del conocimiento empírico acumulado por el parrillero, carecen de precisión técnica, lo que con frecuencia deriva en variaciones no deseadas en el punto de cocción interno, pérdida de jugosidad o cocciones desiguales.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En el ámbito de la tecnología aplicada a la gastronomía, la medición de parámetros físicos mediante sensores representa un avance fundamental hacia la estandarización y optimización de procesos. No obstante, la simple medición de una variable escalar, como la temperatura, resulta insuficiente para asistir de manera integral al usuario si los datos obtenidos no se procesan, contextualizan y acompañan de orientación analítica en tiempo real.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En este contexto surge </w:t>
      </w:r>
      <w:r w:rsidDel="00000000" w:rsidR="00000000" w:rsidRPr="00000000">
        <w:rPr>
          <w:rFonts w:ascii="Arial" w:cs="Arial" w:eastAsia="Arial" w:hAnsi="Arial"/>
          <w:b w:val="1"/>
          <w:bCs w:val="1"/>
          <w:rtl w:val="0"/>
        </w:rPr>
        <w:t xml:space="preserve">Parr-IA</w:t>
      </w:r>
      <w:r w:rsidDel="00000000" w:rsidR="00000000" w:rsidRPr="00000000">
        <w:rPr>
          <w:rFonts w:ascii="Arial" w:cs="Arial" w:eastAsia="Arial" w:hAnsi="Arial"/>
          <w:rtl w:val="0"/>
        </w:rPr>
        <w:t xml:space="preserve">, concebido no como un instrumento aislado de medición, sino como un </w:t>
      </w:r>
      <w:r w:rsidDel="00000000" w:rsidR="00000000" w:rsidRPr="00000000">
        <w:rPr>
          <w:rFonts w:ascii="Arial" w:cs="Arial" w:eastAsia="Arial" w:hAnsi="Arial"/>
          <w:b w:val="1"/>
          <w:bCs w:val="1"/>
          <w:rtl w:val="0"/>
        </w:rPr>
        <w:t xml:space="preserve">sistema tecnológico integrado</w:t>
      </w:r>
      <w:r w:rsidDel="00000000" w:rsidR="00000000" w:rsidRPr="00000000">
        <w:rPr>
          <w:rFonts w:ascii="Arial" w:cs="Arial" w:eastAsia="Arial" w:hAnsi="Arial"/>
          <w:rtl w:val="0"/>
        </w:rPr>
        <w:t xml:space="preserve">. Dicho sistema articula la captura física de temperatura mediante sensores embebidos, el procesamiento de datos electrónicos, una interfaz digital de usuario y la integración de inteligencia artificial conversacional a través de una Interfaz de Programación de Aplicaciones (API). Esta arquitectura permite transformar la lectura térmica cuantitativa en información cualitativa y recomendaciones gastronómicas personalizadas para el usuario en tiempo real.</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4.2 Justificación e Importancia Social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La relevancia del proyecto Parr-IA se fundamenta en tres ejes principales: el desarrollo tecnológico local, la optimización gastronómica y la transferencia de conocimiento asistido.</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Relevancia Tecnológica y Educativa:</w:t>
      </w:r>
      <w:r w:rsidDel="00000000" w:rsidR="00000000" w:rsidRPr="00000000">
        <w:rPr>
          <w:rFonts w:ascii="Arial" w:cs="Arial" w:eastAsia="Arial" w:hAnsi="Arial"/>
          <w:rtl w:val="0"/>
        </w:rPr>
        <w:t xml:space="preserve"> El desarrollo del proyecto dentro de la especialidad de Informática del Colegio y Escuela Técnica Sagrado Corazón de Jesús – Salesianito integra conceptos fundamentales de electrónica, desarrollo de software, protocolos de comunicación entre dispositivos y consumo de servicios web mediante APIs de inteligencia artificial. Esta integración demuestra la viabilidad de crear soluciones tecnológicas complejas e interconectadas aplicadas a la vida cotidiana.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Relevancia Social y Cultural:</w:t>
      </w:r>
      <w:r w:rsidDel="00000000" w:rsidR="00000000" w:rsidRPr="00000000">
        <w:rPr>
          <w:rFonts w:ascii="Arial" w:cs="Arial" w:eastAsia="Arial" w:hAnsi="Arial"/>
          <w:rtl w:val="0"/>
        </w:rPr>
        <w:t xml:space="preserve"> El asado constituye una actividad de alto valor social y de encuentro familiar. Reducir la incertidumbre asociada al punto de cocción permite que usuarios con diversos niveles de experiencia —desde principiantes hasta entusiastas— alcancen resultados consistentes, minimizando el desperdicio de alimentos provocado por cocciones inadecuadas o sobrecocciones de cortes cárnicos de elevado costo económico.</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Innovación en Asistencia Conversacional:</w:t>
      </w:r>
      <w:r w:rsidDel="00000000" w:rsidR="00000000" w:rsidRPr="00000000">
        <w:rPr>
          <w:rFonts w:ascii="Arial" w:cs="Arial" w:eastAsia="Arial" w:hAnsi="Arial"/>
          <w:rtl w:val="0"/>
        </w:rPr>
        <w:t xml:space="preserve"> La incorporación de un chatbot con inteligencia artificial integrado vía API marca un factor diferenciador clave respecto a los termómetros digitales convencionales. El sistema no se limita a mostrar un número en una pantalla; actúa como un asistente interactivo capaz de responder a inquietudes operativas, interpretar el estado de la cocción y sugerir recomendaciones técnicas en tiempo real.</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4.3 Contexto del Problema y Situación Problemática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Determinados tipos de carne requieren perfiles térmicos específicos en su centro térmico para alcanzar la desnaturalización proteica óptima y garantizar la inocuidad alimentaria. No obstante, los métodos tradicionales de evaluación presentan limitaciones estructurales: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Engaño de la apariencia externa:</w:t>
      </w:r>
      <w:r w:rsidDel="00000000" w:rsidR="00000000" w:rsidRPr="00000000">
        <w:rPr>
          <w:rFonts w:ascii="Arial" w:cs="Arial" w:eastAsia="Arial" w:hAnsi="Arial"/>
          <w:rtl w:val="0"/>
        </w:rPr>
        <w:t xml:space="preserve"> La apariencia exterior de la carne no refleja con exactitud la temperatura interna, ya que la reacción de Maillard (caramelización superficial) puede ocurrir rápidamente debido al calor directo del fuego sin que el centro del corte alcance la temperatura de cocción deseada.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Variabilidad de factores ambientales:</w:t>
      </w:r>
      <w:r w:rsidDel="00000000" w:rsidR="00000000" w:rsidRPr="00000000">
        <w:rPr>
          <w:rFonts w:ascii="Arial" w:cs="Arial" w:eastAsia="Arial" w:hAnsi="Arial"/>
          <w:rtl w:val="0"/>
        </w:rPr>
        <w:t xml:space="preserve"> El tiempo de cocción varía sustancialmente según el grosor y densidad del corte, la humedad, la intensidad de las brasas, la distancia a la parrilla y las condiciones climáticas.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Degradación organoléptica por corte prematuro:</w:t>
      </w:r>
      <w:r w:rsidDel="00000000" w:rsidR="00000000" w:rsidRPr="00000000">
        <w:rPr>
          <w:rFonts w:ascii="Arial" w:cs="Arial" w:eastAsia="Arial" w:hAnsi="Arial"/>
          <w:rtl w:val="0"/>
        </w:rPr>
        <w:t xml:space="preserve"> La práctica común de incidir o cortar la carne prematuramente para verificar visualmente su interior ocasiona la pérdida acelerada de jugos intracelulares, afectando negativamente la textura y sabor del alimento.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A esta problemática se suma que los termómetros digitales comerciales existentes en el mercado actúan como simples medidores pasivos: reportan la temperatura en grados Celsius, pero no brindan orientación contextual sobre qué hacer con dicho valor, qué decisiones tomar respecto al fuego o cómo tratar el corte específico según sus características.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4.4 Planteamiento del Problema de Investigación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Ante la falta de herramientas accesibles que integren la medición precisa de datos físicos con asistencia analítica interactiva durante la cocción de carnes, surge la necesidad de diseñar e implementar un sistema que interconecte sensores de temperatura, procesamiento de software y modelos de inteligencia artificial accesibles mediante API.</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4.5 Pregunta General y Preguntas Específicas de Investigación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Pregunta General de Investigación: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¿De qué manera la integración de un sistema de monitoreo térmico por sensores y un chatbot de inteligencia artificial conectado vía API contribuye a la precisión en el control del punto de cocción de carnes y a la asistencia técnica del usuario frente a los métodos empíricos tradicionales?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Preguntas Específicas de Investigación:</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rtl w:val="0"/>
        </w:rPr>
        <w:t xml:space="preserve">¿Cómo diseñar la arquitectura electrónica de sensores para capturar con precisión la temperatura interna de cortes cárnicos durante la cocción?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rtl w:val="0"/>
        </w:rPr>
        <w:t xml:space="preserve">¿De qué forma desarrollar la interfaz digital o aplicación que permita al usuario monitorear en tiempo real los datos transmitidos por el sistema electrónico?</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rtl w:val="0"/>
        </w:rPr>
        <w:t xml:space="preserve">¿Cómo estructurar la comunicación mediante API entre la plataforma Parr-IA y un servicio de inteligencia artificial para brindar asistencia conversacional relevante al usuario?</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90" w:before="0" w:beforeAutospacing="0" w:line="300" w:lineRule="auto"/>
        <w:ind w:left="600" w:hanging="360"/>
      </w:pPr>
      <w:r w:rsidDel="00000000" w:rsidR="00000000" w:rsidRPr="00000000">
        <w:rPr>
          <w:rFonts w:ascii="Arial" w:cs="Arial" w:eastAsia="Arial" w:hAnsi="Arial"/>
          <w:rtl w:val="0"/>
        </w:rPr>
        <w:t xml:space="preserve">¿Cuál es el nivel de usabilidad, tiempo de respuesta y efectividad del sistema integral Parr-IA en escenarios reales de preparación de alimentos?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4.6 Objetivo General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Desarrollar un sistema tecnológico inteligente para el monitoreo en tiempo real de la temperatura interna de carnes durante su cocción y la asistencia interactiva al usuario mediante la integración de sensores, una plataforma digital y un chatbot basado en inteligencia artificial conectado vía API.</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4.7 Objetivos Específicos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Diseñar</w:t>
      </w:r>
      <w:r w:rsidDel="00000000" w:rsidR="00000000" w:rsidRPr="00000000">
        <w:rPr>
          <w:rFonts w:ascii="Arial" w:cs="Arial" w:eastAsia="Arial" w:hAnsi="Arial"/>
          <w:rtl w:val="0"/>
        </w:rPr>
        <w:t xml:space="preserve"> la arquitectura electrónica y el circuito de captura térmica para la medición de la temperatura interna de la carne mediante sensores.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Desarrollar</w:t>
      </w:r>
      <w:r w:rsidDel="00000000" w:rsidR="00000000" w:rsidRPr="00000000">
        <w:rPr>
          <w:rFonts w:ascii="Arial" w:cs="Arial" w:eastAsia="Arial" w:hAnsi="Arial"/>
          <w:rtl w:val="0"/>
        </w:rPr>
        <w:t xml:space="preserve"> la aplicación o interfaz digital que permita al usuario visualizar en tiempo real los datos térmicos procesados por el sistema.</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Implementar</w:t>
      </w:r>
      <w:r w:rsidDel="00000000" w:rsidR="00000000" w:rsidRPr="00000000">
        <w:rPr>
          <w:rFonts w:ascii="Arial" w:cs="Arial" w:eastAsia="Arial" w:hAnsi="Arial"/>
          <w:rtl w:val="0"/>
        </w:rPr>
        <w:t xml:space="preserve"> un chatbot basado en inteligencia artificial mediante la integración de una API que proporcione información, recomendaciones y asistencia gastronómica al usuario dentro del sistema Parr-IA.</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Establecer</w:t>
      </w:r>
      <w:r w:rsidDel="00000000" w:rsidR="00000000" w:rsidRPr="00000000">
        <w:rPr>
          <w:rFonts w:ascii="Arial" w:cs="Arial" w:eastAsia="Arial" w:hAnsi="Arial"/>
          <w:rtl w:val="0"/>
        </w:rPr>
        <w:t xml:space="preserve"> el protocolo de comunicación y transferencia de datos entre el hardware de medición y el software del sistema Parr-IA.</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90" w:before="0" w:beforeAutospacing="0" w:line="300" w:lineRule="auto"/>
        <w:ind w:left="600" w:hanging="360"/>
      </w:pPr>
      <w:r w:rsidDel="00000000" w:rsidR="00000000" w:rsidRPr="00000000">
        <w:rPr>
          <w:rFonts w:ascii="Arial" w:cs="Arial" w:eastAsia="Arial" w:hAnsi="Arial"/>
          <w:b w:val="1"/>
          <w:bCs w:val="1"/>
          <w:rtl w:val="0"/>
        </w:rPr>
        <w:t xml:space="preserve">Evaluar</w:t>
      </w:r>
      <w:r w:rsidDel="00000000" w:rsidR="00000000" w:rsidRPr="00000000">
        <w:rPr>
          <w:rFonts w:ascii="Arial" w:cs="Arial" w:eastAsia="Arial" w:hAnsi="Arial"/>
          <w:rtl w:val="0"/>
        </w:rPr>
        <w:t xml:space="preserve"> el desempeño técnico del prototipo integral en términos de precisión de lectura, tiempo de respuesta de la API y usabilidad de la interfaz en condiciones reales de uso.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