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C3D1" w14:textId="56B5562C" w:rsidR="006C01E2" w:rsidRDefault="006C01E2" w:rsidP="006C01E2">
      <w:r>
        <w:t xml:space="preserve">Noțiuni generale de funcționare a </w:t>
      </w:r>
      <w:r w:rsidR="00E42620">
        <w:t>unui compilator</w:t>
      </w:r>
    </w:p>
    <w:p w14:paraId="521A5A12" w14:textId="77777777" w:rsidR="00F64712" w:rsidRDefault="00F64712" w:rsidP="006C01E2"/>
    <w:p w14:paraId="7A80F4C6" w14:textId="563F35DB" w:rsidR="001A7E57" w:rsidRDefault="001A7E57" w:rsidP="00DA0764">
      <w:pPr>
        <w:ind w:firstLine="720"/>
      </w:pPr>
      <w:r>
        <w:t>Modelele, teoria și algoritmii asociați unui compilator</w:t>
      </w:r>
      <w:r w:rsidR="00443C04">
        <w:t xml:space="preserve">, </w:t>
      </w:r>
      <w:r w:rsidR="005B0B3E">
        <w:t>explicate</w:t>
      </w:r>
      <w:r w:rsidR="00443C04">
        <w:t xml:space="preserve"> în detaliu de Alfred Aho, Monica Lam, </w:t>
      </w:r>
      <w:proofErr w:type="spellStart"/>
      <w:r w:rsidR="00443C04">
        <w:t>Ravi</w:t>
      </w:r>
      <w:proofErr w:type="spellEnd"/>
      <w:r w:rsidR="00443C04">
        <w:t xml:space="preserve"> </w:t>
      </w:r>
      <w:proofErr w:type="spellStart"/>
      <w:r w:rsidR="00443C04">
        <w:t>Sethi</w:t>
      </w:r>
      <w:proofErr w:type="spellEnd"/>
      <w:r w:rsidR="00443C04">
        <w:t xml:space="preserve">, și </w:t>
      </w:r>
      <w:proofErr w:type="spellStart"/>
      <w:r w:rsidR="00443C04">
        <w:t>Jeffrey</w:t>
      </w:r>
      <w:proofErr w:type="spellEnd"/>
      <w:r w:rsidR="00443C04">
        <w:t xml:space="preserve"> </w:t>
      </w:r>
      <w:proofErr w:type="spellStart"/>
      <w:r w:rsidR="00443C04">
        <w:t>Ullman</w:t>
      </w:r>
      <w:proofErr w:type="spellEnd"/>
      <w:r w:rsidR="005B0B3E">
        <w:t>,</w:t>
      </w:r>
      <w:r w:rsidR="00443C04">
        <w:t xml:space="preserve"> </w:t>
      </w:r>
      <w:r w:rsidR="002C1376">
        <w:t>pot fi aplica</w:t>
      </w:r>
      <w:r w:rsidR="00E24AB9">
        <w:t xml:space="preserve">te </w:t>
      </w:r>
      <w:r w:rsidR="002C1376">
        <w:t>unei game largi de probleme în design-</w:t>
      </w:r>
      <w:proofErr w:type="spellStart"/>
      <w:r w:rsidR="002C1376">
        <w:t>ul</w:t>
      </w:r>
      <w:proofErr w:type="spellEnd"/>
      <w:r w:rsidR="002C1376">
        <w:t xml:space="preserve"> și dezvoltarea de software. Prin urmare, </w:t>
      </w:r>
      <w:r w:rsidR="00BD5E68">
        <w:t xml:space="preserve">prezentarea sumară </w:t>
      </w:r>
      <w:r w:rsidR="00D72C51">
        <w:t xml:space="preserve">a </w:t>
      </w:r>
      <w:r w:rsidR="00653DA5">
        <w:t xml:space="preserve">etapelor parcurse de-a lungul întregului proces de compilare poate furniza </w:t>
      </w:r>
      <w:r w:rsidR="00E00F2F">
        <w:t xml:space="preserve">o perspectivă de ansamblu asupra </w:t>
      </w:r>
      <w:r w:rsidR="00653DA5">
        <w:t xml:space="preserve">conceptelor </w:t>
      </w:r>
      <w:r w:rsidR="0061007C">
        <w:t xml:space="preserve">și contextului în care au fost </w:t>
      </w:r>
      <w:r w:rsidR="00653DA5">
        <w:t xml:space="preserve">utilizate </w:t>
      </w:r>
      <w:r w:rsidR="0061007C">
        <w:t xml:space="preserve">și </w:t>
      </w:r>
      <w:r w:rsidR="00BF719E">
        <w:t>a modului de funcționare al acestora</w:t>
      </w:r>
      <w:r w:rsidR="006222CC">
        <w:t>.</w:t>
      </w:r>
      <w:r w:rsidR="00BF719E">
        <w:t xml:space="preserve"> Analiza sintactică, generarea de cod intermediar și tabela de simboluri constituie pilonii</w:t>
      </w:r>
      <w:r w:rsidR="0061007C">
        <w:t xml:space="preserve"> procesării de text și </w:t>
      </w:r>
      <w:r w:rsidR="000D6456">
        <w:t>generării de cod pentru întrebările axate pe înțelegerea fluxului programelor din prezentul proiect.</w:t>
      </w:r>
      <w:r w:rsidR="00A671B7">
        <w:rPr>
          <w:rStyle w:val="FootnoteReference"/>
        </w:rPr>
        <w:footnoteReference w:id="1"/>
      </w:r>
    </w:p>
    <w:p w14:paraId="739985D4" w14:textId="709AC395" w:rsidR="00DB337B" w:rsidRDefault="00DB337B" w:rsidP="00AD7C0C"/>
    <w:p w14:paraId="7C4E0FFB" w14:textId="76706C38" w:rsidR="004A3A14" w:rsidRDefault="00E42620" w:rsidP="00AD7C0C">
      <w:r>
        <w:t>Etapele procesului de compilare</w:t>
      </w:r>
    </w:p>
    <w:p w14:paraId="51F4A0B2" w14:textId="77777777" w:rsidR="004675D0" w:rsidRPr="006A7F88" w:rsidRDefault="004675D0" w:rsidP="00AD7C0C"/>
    <w:p w14:paraId="3CDC2E5E" w14:textId="62B6EFB8" w:rsidR="00657AF3" w:rsidRPr="00AD7C0C" w:rsidRDefault="00657AF3" w:rsidP="00DA0764">
      <w:pPr>
        <w:ind w:firstLine="720"/>
      </w:pPr>
      <w:r w:rsidRPr="00471E5C">
        <w:rPr>
          <w:b/>
          <w:bCs/>
        </w:rPr>
        <w:t>Faza de analiză</w:t>
      </w:r>
      <w:r w:rsidRPr="00AD7C0C">
        <w:t xml:space="preserve"> a unui compilator constă în descompunerea codului sursă în părțile constitutive ale limbajului de programare, impunerea unei structuri gramaticale și crearea unei reprezentări intermediare asociate codului. </w:t>
      </w:r>
    </w:p>
    <w:p w14:paraId="65EB9DAB" w14:textId="7AEB1DC0" w:rsidR="00657AF3" w:rsidRDefault="00657AF3" w:rsidP="00DA0764">
      <w:pPr>
        <w:ind w:firstLine="720"/>
      </w:pPr>
      <w:r w:rsidRPr="00AD7C0C">
        <w:t xml:space="preserve">O structură gramaticală implică prezența unor reguli de sintaxă specifice limbajului. </w:t>
      </w:r>
      <w:r w:rsidRPr="00471E5C">
        <w:rPr>
          <w:b/>
          <w:bCs/>
        </w:rPr>
        <w:t>Sintaxa</w:t>
      </w:r>
      <w:r w:rsidRPr="00AD7C0C">
        <w:t xml:space="preserve"> unui limbaj de programare descrie forma adecvată a programelor sale, în timp ce </w:t>
      </w:r>
      <w:r w:rsidRPr="00471E5C">
        <w:rPr>
          <w:b/>
          <w:bCs/>
        </w:rPr>
        <w:t>semantica</w:t>
      </w:r>
      <w:r w:rsidRPr="00AD7C0C">
        <w:t xml:space="preserve"> limbajului definește sensul acestora, mai precis, ce face fiecare program atunci când este executat. Pentru specificarea sintaxei se folosește o notație utilizată pe scară largă, numită gramatică independentă de context</w:t>
      </w:r>
      <w:r w:rsidR="00ED237D" w:rsidRPr="00ED237D">
        <w:rPr>
          <w:vertAlign w:val="superscript"/>
        </w:rPr>
        <w:footnoteReference w:id="2"/>
      </w:r>
      <w:r w:rsidRPr="00AD7C0C">
        <w:t xml:space="preserve">. </w:t>
      </w:r>
    </w:p>
    <w:p w14:paraId="74DC4A76" w14:textId="339F365A" w:rsidR="00486154" w:rsidRPr="00D427D7" w:rsidRDefault="00486154" w:rsidP="00DA0764">
      <w:pPr>
        <w:ind w:firstLine="720"/>
      </w:pPr>
      <w:r w:rsidRPr="00D427D7">
        <w:t xml:space="preserve">Sarcina principală a </w:t>
      </w:r>
      <w:r w:rsidRPr="00471E5C">
        <w:rPr>
          <w:b/>
          <w:bCs/>
        </w:rPr>
        <w:t>analizatorului lexical</w:t>
      </w:r>
      <w:r w:rsidRPr="00D427D7">
        <w:t xml:space="preserve"> este să citească caracterele codului sursă, să le grupeze în lexeme</w:t>
      </w:r>
      <w:r w:rsidR="0031122E">
        <w:t xml:space="preserve"> </w:t>
      </w:r>
      <w:r w:rsidR="00A81347">
        <w:t>(șiruri de caractere)</w:t>
      </w:r>
      <w:r w:rsidRPr="00D427D7">
        <w:t xml:space="preserve"> și să producă o secvență de </w:t>
      </w:r>
      <w:proofErr w:type="spellStart"/>
      <w:r w:rsidRPr="00D427D7">
        <w:t>tokeni</w:t>
      </w:r>
      <w:proofErr w:type="spellEnd"/>
      <w:r w:rsidR="006A7F88">
        <w:t xml:space="preserve"> formați din tipul lexemului și opțional, un pointer către intrarea din tabela de simboluri</w:t>
      </w:r>
      <w:r w:rsidR="0032139F">
        <w:t xml:space="preserve">. </w:t>
      </w:r>
      <w:r w:rsidR="006A7F88" w:rsidRPr="00D427D7">
        <w:t>Atunci când analizatorul lexical descoperă un lexem care constituie un identificator</w:t>
      </w:r>
      <w:r w:rsidR="0032139F">
        <w:t xml:space="preserve"> (nume de constante, variabile sau funcții)</w:t>
      </w:r>
      <w:r w:rsidR="006A7F88" w:rsidRPr="00D427D7">
        <w:t>, introduce acel lexem în tabelă.</w:t>
      </w:r>
      <w:r w:rsidR="007A5CB8">
        <w:t xml:space="preserve"> </w:t>
      </w:r>
      <w:proofErr w:type="spellStart"/>
      <w:r w:rsidRPr="00D427D7">
        <w:t>Tokenii</w:t>
      </w:r>
      <w:proofErr w:type="spellEnd"/>
      <w:r w:rsidRPr="00D427D7">
        <w:t xml:space="preserve"> sunt trimiși către </w:t>
      </w:r>
      <w:proofErr w:type="spellStart"/>
      <w:r w:rsidRPr="00D427D7">
        <w:t>parsator</w:t>
      </w:r>
      <w:proofErr w:type="spellEnd"/>
      <w:r w:rsidRPr="00D427D7">
        <w:t xml:space="preserve"> pentru analiza de sintaxă</w:t>
      </w:r>
      <w:r w:rsidR="00ED237D" w:rsidRPr="00ED237D">
        <w:rPr>
          <w:vertAlign w:val="superscript"/>
        </w:rPr>
        <w:footnoteReference w:id="3"/>
      </w:r>
      <w:r w:rsidRPr="00D427D7">
        <w:t>.</w:t>
      </w:r>
    </w:p>
    <w:p w14:paraId="14FD8583" w14:textId="0DEE6ACF" w:rsidR="00486154" w:rsidRPr="00D427D7" w:rsidRDefault="00486154" w:rsidP="00DA0764">
      <w:pPr>
        <w:ind w:firstLine="720"/>
      </w:pPr>
      <w:proofErr w:type="spellStart"/>
      <w:r w:rsidRPr="00471E5C">
        <w:rPr>
          <w:b/>
          <w:bCs/>
        </w:rPr>
        <w:t>Parsatorul</w:t>
      </w:r>
      <w:proofErr w:type="spellEnd"/>
      <w:r w:rsidRPr="00471E5C">
        <w:rPr>
          <w:b/>
          <w:bCs/>
        </w:rPr>
        <w:t xml:space="preserve"> </w:t>
      </w:r>
      <w:r w:rsidRPr="00D427D7">
        <w:t xml:space="preserve">obține un șir de </w:t>
      </w:r>
      <w:proofErr w:type="spellStart"/>
      <w:r w:rsidRPr="00D427D7">
        <w:t>tokeni</w:t>
      </w:r>
      <w:proofErr w:type="spellEnd"/>
      <w:r w:rsidRPr="00D427D7">
        <w:t xml:space="preserve"> de la analizatorul lexical și verifică faptul că șirul de </w:t>
      </w:r>
      <w:proofErr w:type="spellStart"/>
      <w:r w:rsidRPr="00D427D7">
        <w:t>tokeni</w:t>
      </w:r>
      <w:proofErr w:type="spellEnd"/>
      <w:r w:rsidRPr="00D427D7">
        <w:t xml:space="preserve"> poate fi generat de gramatica limbajului. </w:t>
      </w:r>
      <w:proofErr w:type="spellStart"/>
      <w:r w:rsidRPr="00D427D7">
        <w:t>Parsatorul</w:t>
      </w:r>
      <w:proofErr w:type="spellEnd"/>
      <w:r w:rsidRPr="00D427D7">
        <w:t xml:space="preserve"> va raporta orice erori de sintaxă într-un mod inteligibil. Pentru programele bine formate, analizatorul construiește un arbore de </w:t>
      </w:r>
      <w:proofErr w:type="spellStart"/>
      <w:r w:rsidRPr="00D427D7">
        <w:t>parsare</w:t>
      </w:r>
      <w:proofErr w:type="spellEnd"/>
      <w:r w:rsidRPr="00D427D7">
        <w:t xml:space="preserve"> și îl transmite restului compilatorului pentru procesare ulterioară.</w:t>
      </w:r>
    </w:p>
    <w:p w14:paraId="14427027" w14:textId="391F131F" w:rsidR="00D427D7" w:rsidRPr="00D427D7" w:rsidRDefault="00D427D7" w:rsidP="00DA0764">
      <w:pPr>
        <w:ind w:firstLine="720"/>
      </w:pPr>
      <w:r w:rsidRPr="00D427D7">
        <w:t xml:space="preserve">Fazele ulterioare ale compilatorului trebuie să analizeze rezultatul </w:t>
      </w:r>
      <w:proofErr w:type="spellStart"/>
      <w:r w:rsidRPr="00D427D7">
        <w:t>parsatorului</w:t>
      </w:r>
      <w:proofErr w:type="spellEnd"/>
      <w:r w:rsidRPr="00D427D7">
        <w:t xml:space="preserve">, pentru a asigura conformitatea programului cu regulile care nu sunt verificate de </w:t>
      </w:r>
      <w:proofErr w:type="spellStart"/>
      <w:r w:rsidRPr="00D427D7">
        <w:t>parsator</w:t>
      </w:r>
      <w:proofErr w:type="spellEnd"/>
      <w:r w:rsidR="00ED237D" w:rsidRPr="00ED237D">
        <w:rPr>
          <w:vertAlign w:val="superscript"/>
        </w:rPr>
        <w:footnoteReference w:id="4"/>
      </w:r>
      <w:r w:rsidRPr="00D427D7">
        <w:t>.</w:t>
      </w:r>
    </w:p>
    <w:p w14:paraId="664FADAE" w14:textId="33D83E3F" w:rsidR="00AC357D" w:rsidRPr="00D427D7" w:rsidRDefault="00D427D7" w:rsidP="00DA0764">
      <w:pPr>
        <w:ind w:firstLine="720"/>
      </w:pPr>
      <w:r w:rsidRPr="00D427D7">
        <w:lastRenderedPageBreak/>
        <w:t xml:space="preserve">O gramatică pentru C sau Java nu distinge între identificatorii care sunt șiruri de caractere diferite. În schimb, toți identificatorii sunt reprezentați printr-un simbol precum </w:t>
      </w:r>
      <w:proofErr w:type="spellStart"/>
      <w:r w:rsidRPr="00D427D7">
        <w:t>id</w:t>
      </w:r>
      <w:proofErr w:type="spellEnd"/>
      <w:r w:rsidRPr="00D427D7">
        <w:t xml:space="preserve"> în gramatică. Într-un compilator pentru un astfel de limbaj, faza de </w:t>
      </w:r>
      <w:r w:rsidRPr="00471E5C">
        <w:rPr>
          <w:b/>
          <w:bCs/>
        </w:rPr>
        <w:t>analiză semantică</w:t>
      </w:r>
      <w:r w:rsidRPr="00D427D7">
        <w:t xml:space="preserve"> verifică dacă identificatorii sunt declarați înainte de a fi utilizați</w:t>
      </w:r>
      <w:r w:rsidR="00ED237D" w:rsidRPr="00ED237D">
        <w:rPr>
          <w:vertAlign w:val="superscript"/>
        </w:rPr>
        <w:footnoteReference w:id="5"/>
      </w:r>
      <w:r w:rsidRPr="00D427D7">
        <w:t>.</w:t>
      </w:r>
    </w:p>
    <w:p w14:paraId="3DBA1DDA" w14:textId="086D13F0" w:rsidR="00C97D7F" w:rsidRDefault="00657AF3" w:rsidP="00DA0764">
      <w:pPr>
        <w:ind w:firstLine="720"/>
      </w:pPr>
      <w:r w:rsidRPr="00AD7C0C">
        <w:t xml:space="preserve">Dacă partea de analiză detectează </w:t>
      </w:r>
      <w:r w:rsidR="003116D5">
        <w:t xml:space="preserve">pe parcursul </w:t>
      </w:r>
      <w:r w:rsidR="003116D5" w:rsidRPr="00BB1C48">
        <w:rPr>
          <w:b/>
          <w:bCs/>
        </w:rPr>
        <w:t>verificării statice</w:t>
      </w:r>
      <w:r w:rsidR="00471E5C">
        <w:t xml:space="preserve"> (verificare făcută de compilator)</w:t>
      </w:r>
      <w:r w:rsidR="003116D5">
        <w:t xml:space="preserve"> </w:t>
      </w:r>
      <w:r w:rsidRPr="00AD7C0C">
        <w:t>incorectitudinea codului sursă din punct de vedere sintactic sau semantic</w:t>
      </w:r>
      <w:r w:rsidR="002103A5">
        <w:t xml:space="preserve"> (nu sunt urmate regulile sintactice și semantice</w:t>
      </w:r>
      <w:r w:rsidR="003116D5">
        <w:t xml:space="preserve"> ale limbajului în care a fost scris</w:t>
      </w:r>
      <w:r w:rsidR="002103A5">
        <w:t>)</w:t>
      </w:r>
      <w:r w:rsidRPr="00AD7C0C">
        <w:t xml:space="preserve">, atunci trebuie să furnizeze mesaje informative, astfel încât utilizatorul să poată lua măsuri corective. </w:t>
      </w:r>
    </w:p>
    <w:p w14:paraId="124E339C" w14:textId="77777777" w:rsidR="00C97D7F" w:rsidRPr="00C97D7F" w:rsidRDefault="00C97D7F" w:rsidP="00DA0764">
      <w:pPr>
        <w:ind w:firstLine="720"/>
      </w:pPr>
      <w:r w:rsidRPr="00BB1C48">
        <w:rPr>
          <w:b/>
          <w:bCs/>
        </w:rPr>
        <w:t>Verificarea sintactică</w:t>
      </w:r>
      <w:r w:rsidRPr="00C97D7F">
        <w:t xml:space="preserve"> nu verifică doar dacă programul respectă gramatica limbajului. De exemplu, constrângerile precum declararea unui identificator cel mult o dată într-un domeniu de valabilitate, sau încadrarea obligatorie a instrucțiunii break într-o buclă sunt de natură sintactică, deși nu sunt impuse de o gramatică utilizată pentru </w:t>
      </w:r>
      <w:proofErr w:type="spellStart"/>
      <w:r w:rsidRPr="00C97D7F">
        <w:t>parsare</w:t>
      </w:r>
      <w:proofErr w:type="spellEnd"/>
      <w:r w:rsidRPr="00C97D7F">
        <w:t>.</w:t>
      </w:r>
    </w:p>
    <w:p w14:paraId="4007281C" w14:textId="4151E801" w:rsidR="00C97D7F" w:rsidRPr="00C97D7F" w:rsidRDefault="00C97D7F" w:rsidP="00DA0764">
      <w:pPr>
        <w:ind w:firstLine="720"/>
      </w:pPr>
      <w:r w:rsidRPr="00BB1C48">
        <w:rPr>
          <w:b/>
          <w:bCs/>
        </w:rPr>
        <w:t>Verificările de tip</w:t>
      </w:r>
      <w:r w:rsidRPr="00C97D7F">
        <w:t xml:space="preserve"> ale unui limbaj asigură că operatorii sau funcțiile sunt aplicate numărului și tipului corect de operanzi. Dacă este necesară conversia între tipuri (de exemplu, atunci când un număr de tip întreg este adăugat la un număr de tip </w:t>
      </w:r>
      <w:proofErr w:type="spellStart"/>
      <w:r w:rsidRPr="00C97D7F">
        <w:t>float</w:t>
      </w:r>
      <w:proofErr w:type="spellEnd"/>
      <w:r w:rsidRPr="00C97D7F">
        <w:t>), atunci verificatorul de tip poate insera un operator în arborele de sintaxă pentru a reprezenta acea conversie</w:t>
      </w:r>
      <w:r w:rsidR="00771F6B" w:rsidRPr="00771F6B">
        <w:rPr>
          <w:vertAlign w:val="superscript"/>
        </w:rPr>
        <w:footnoteReference w:id="6"/>
      </w:r>
      <w:r w:rsidRPr="00C97D7F">
        <w:t>.</w:t>
      </w:r>
    </w:p>
    <w:p w14:paraId="1B0C9AF1" w14:textId="4A42467B" w:rsidR="00657AF3" w:rsidRPr="003116D5" w:rsidRDefault="00657AF3" w:rsidP="00DA0764">
      <w:pPr>
        <w:ind w:firstLine="720"/>
        <w:rPr>
          <w:rFonts w:ascii="Roboto" w:hAnsi="Roboto"/>
          <w:color w:val="252525"/>
          <w:sz w:val="27"/>
          <w:szCs w:val="27"/>
        </w:rPr>
      </w:pPr>
      <w:r w:rsidRPr="00AD7C0C">
        <w:t>În detectarea erorilor, au un rol esențial atât gramatica limbajului cât și tabela de simboluri</w:t>
      </w:r>
      <w:r w:rsidR="00771F6B" w:rsidRPr="00771F6B">
        <w:rPr>
          <w:vertAlign w:val="superscript"/>
        </w:rPr>
        <w:footnoteReference w:id="7"/>
      </w:r>
      <w:r w:rsidR="003116D5">
        <w:rPr>
          <w:rFonts w:ascii="Roboto" w:hAnsi="Roboto"/>
          <w:color w:val="252525"/>
          <w:sz w:val="27"/>
          <w:szCs w:val="27"/>
        </w:rPr>
        <w:t>.</w:t>
      </w:r>
    </w:p>
    <w:p w14:paraId="4DA0BFA7" w14:textId="16314156" w:rsidR="00657AF3" w:rsidRPr="00AD7C0C" w:rsidRDefault="00657AF3" w:rsidP="00DA0764">
      <w:pPr>
        <w:ind w:firstLine="720"/>
      </w:pPr>
      <w:r w:rsidRPr="00AD7C0C">
        <w:t xml:space="preserve">Pe parcursul etapei de analiză sunt colectate și stocate informații despre programul sursă într-o structură de date numită </w:t>
      </w:r>
      <w:r w:rsidRPr="00BB1C48">
        <w:rPr>
          <w:b/>
          <w:bCs/>
        </w:rPr>
        <w:t>tabelă de simboluri</w:t>
      </w:r>
      <w:r w:rsidRPr="00AD7C0C">
        <w:t>, care este transmisă împreună cu reprezentarea intermediară către etapa de sinteză</w:t>
      </w:r>
      <w:r w:rsidR="00771F6B" w:rsidRPr="00771F6B">
        <w:rPr>
          <w:vertAlign w:val="superscript"/>
        </w:rPr>
        <w:footnoteReference w:id="8"/>
      </w:r>
      <w:r w:rsidRPr="00AD7C0C">
        <w:t xml:space="preserve">. </w:t>
      </w:r>
    </w:p>
    <w:p w14:paraId="2AE55B09" w14:textId="77777777" w:rsidR="00657AF3" w:rsidRPr="00AD7C0C" w:rsidRDefault="00657AF3" w:rsidP="00DA0764">
      <w:pPr>
        <w:ind w:firstLine="720"/>
      </w:pPr>
      <w:r w:rsidRPr="00BB1C48">
        <w:rPr>
          <w:b/>
          <w:bCs/>
        </w:rPr>
        <w:t>Faza de sinteză</w:t>
      </w:r>
      <w:r w:rsidRPr="00AD7C0C">
        <w:t xml:space="preserve"> translatează programul intermediar în programul țintă, utilizând informațiile din tabela de simboluri.</w:t>
      </w:r>
    </w:p>
    <w:p w14:paraId="3BE23B4A" w14:textId="54104EC2" w:rsidR="00657AF3" w:rsidRPr="00AD7C0C" w:rsidRDefault="00657AF3" w:rsidP="00DA0764">
      <w:pPr>
        <w:ind w:firstLine="720"/>
      </w:pPr>
      <w:r w:rsidRPr="00AD7C0C">
        <w:t xml:space="preserve">Partea de analiză este adesea numită partea de </w:t>
      </w:r>
      <w:proofErr w:type="spellStart"/>
      <w:r w:rsidRPr="00AD7C0C">
        <w:t>frontend</w:t>
      </w:r>
      <w:proofErr w:type="spellEnd"/>
      <w:r w:rsidRPr="00AD7C0C">
        <w:t xml:space="preserve"> a compilatorului, iar partea de sinteză este numită partea de </w:t>
      </w:r>
      <w:proofErr w:type="spellStart"/>
      <w:r w:rsidRPr="00AD7C0C">
        <w:t>backend</w:t>
      </w:r>
      <w:proofErr w:type="spellEnd"/>
      <w:r w:rsidRPr="00AD7C0C">
        <w:t>.</w:t>
      </w:r>
    </w:p>
    <w:p w14:paraId="42F8F09D" w14:textId="77777777" w:rsidR="0079580F" w:rsidRPr="00AD7C0C" w:rsidRDefault="0079580F" w:rsidP="00AD7C0C"/>
    <w:p w14:paraId="72E6DFD8" w14:textId="7DB1B3EF" w:rsidR="00A77A15" w:rsidRDefault="00A77A15" w:rsidP="00AD7C0C">
      <w:r w:rsidRPr="00AD7C0C">
        <w:t>Analiza sintactică</w:t>
      </w:r>
    </w:p>
    <w:p w14:paraId="2A71AA73" w14:textId="77777777" w:rsidR="004675D0" w:rsidRPr="00AD7C0C" w:rsidRDefault="004675D0" w:rsidP="00AD7C0C"/>
    <w:p w14:paraId="097C77EC" w14:textId="7C34A3BF" w:rsidR="000A2D49" w:rsidRDefault="005D0D18" w:rsidP="000663D2">
      <w:pPr>
        <w:ind w:firstLine="720"/>
      </w:pPr>
      <w:r w:rsidRPr="00A56F4D">
        <w:t>Implicit, prin design, fiecare limbaj de programare are reguli precise care descriu structura sintactică a programelor corecte (de exemplu, în C, un program este format din funcții, o funcție din declarații și instrucțiuni, o instrucțiune din expresii și așa mai departe)</w:t>
      </w:r>
      <w:r w:rsidR="00E748E0" w:rsidRPr="00E748E0">
        <w:rPr>
          <w:vertAlign w:val="superscript"/>
        </w:rPr>
        <w:footnoteReference w:id="9"/>
      </w:r>
      <w:r w:rsidRPr="00A56F4D">
        <w:t xml:space="preserve">. </w:t>
      </w:r>
      <w:r w:rsidR="007A0FAB" w:rsidRPr="00AD7C0C">
        <w:t>Structură ierarhică a elementelor constitutive ale unui limbaj de programare este descrisă de o gramatică.</w:t>
      </w:r>
      <w:r w:rsidR="000A2D49" w:rsidRPr="00AD7C0C">
        <w:t xml:space="preserve"> De exemplu, o instrucțiune </w:t>
      </w:r>
      <w:proofErr w:type="spellStart"/>
      <w:r w:rsidR="000A2D49" w:rsidRPr="00AD7C0C">
        <w:t>if-else</w:t>
      </w:r>
      <w:proofErr w:type="spellEnd"/>
      <w:r w:rsidR="000A2D49" w:rsidRPr="00AD7C0C">
        <w:t xml:space="preserve"> poate avea forma</w:t>
      </w:r>
    </w:p>
    <w:p w14:paraId="5801786F" w14:textId="46954ADB" w:rsidR="000663D2" w:rsidRPr="00AD7C0C" w:rsidRDefault="000663D2" w:rsidP="007E715C">
      <w:pPr>
        <w:jc w:val="center"/>
      </w:pPr>
      <w:r w:rsidRPr="000663D2">
        <w:lastRenderedPageBreak/>
        <w:drawing>
          <wp:inline distT="0" distB="0" distL="0" distR="0" wp14:anchorId="686598C9" wp14:editId="1CA34012">
            <wp:extent cx="1699407" cy="11049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9407" cy="1104996"/>
                    </a:xfrm>
                    <a:prstGeom prst="rect">
                      <a:avLst/>
                    </a:prstGeom>
                  </pic:spPr>
                </pic:pic>
              </a:graphicData>
            </a:graphic>
          </wp:inline>
        </w:drawing>
      </w:r>
    </w:p>
    <w:p w14:paraId="744AC451" w14:textId="77777777" w:rsidR="00153880" w:rsidRPr="00AD7C0C" w:rsidRDefault="00153880" w:rsidP="00DA0764">
      <w:pPr>
        <w:ind w:firstLine="720"/>
      </w:pPr>
      <w:r w:rsidRPr="00AD7C0C">
        <w:t>Această instrucțiune</w:t>
      </w:r>
      <w:r w:rsidR="000A2D49" w:rsidRPr="00AD7C0C">
        <w:t xml:space="preserve"> este reprezentată de concatenarea cuvântului cheie </w:t>
      </w:r>
      <w:proofErr w:type="spellStart"/>
      <w:r w:rsidR="000A2D49" w:rsidRPr="00AD7C0C">
        <w:t>if</w:t>
      </w:r>
      <w:proofErr w:type="spellEnd"/>
      <w:r w:rsidR="000A2D49" w:rsidRPr="00AD7C0C">
        <w:t xml:space="preserve">, o paranteză deschisă, o expresie, o paranteză închisă, o instrucțiune, cuvântul cheie </w:t>
      </w:r>
      <w:proofErr w:type="spellStart"/>
      <w:r w:rsidR="000A2D49" w:rsidRPr="00AD7C0C">
        <w:t>else</w:t>
      </w:r>
      <w:proofErr w:type="spellEnd"/>
      <w:r w:rsidR="000A2D49" w:rsidRPr="00AD7C0C">
        <w:t xml:space="preserve"> și o altă instrucțiune. Folosind variabila </w:t>
      </w:r>
      <w:proofErr w:type="spellStart"/>
      <w:r w:rsidR="000A2D49" w:rsidRPr="00AD7C0C">
        <w:t>expr</w:t>
      </w:r>
      <w:proofErr w:type="spellEnd"/>
      <w:r w:rsidR="000A2D49" w:rsidRPr="00AD7C0C">
        <w:t xml:space="preserve"> pentru a desemna o expresie și variabila </w:t>
      </w:r>
      <w:proofErr w:type="spellStart"/>
      <w:r w:rsidR="000A2D49" w:rsidRPr="00AD7C0C">
        <w:t>stmt</w:t>
      </w:r>
      <w:proofErr w:type="spellEnd"/>
      <w:r w:rsidR="000A2D49" w:rsidRPr="00AD7C0C">
        <w:t xml:space="preserve"> pentru a desemna o instrucțiune, această regulă de poate fi exprimată sub forma </w:t>
      </w:r>
    </w:p>
    <w:p w14:paraId="07114ACA" w14:textId="08D7966A" w:rsidR="000A2D49" w:rsidRPr="00AD7C0C" w:rsidRDefault="000663D2" w:rsidP="007E715C">
      <w:pPr>
        <w:jc w:val="center"/>
      </w:pPr>
      <w:r w:rsidRPr="000663D2">
        <w:drawing>
          <wp:inline distT="0" distB="0" distL="0" distR="0" wp14:anchorId="51B20B84" wp14:editId="3670AAD5">
            <wp:extent cx="2461473" cy="41151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1473" cy="411516"/>
                    </a:xfrm>
                    <a:prstGeom prst="rect">
                      <a:avLst/>
                    </a:prstGeom>
                  </pic:spPr>
                </pic:pic>
              </a:graphicData>
            </a:graphic>
          </wp:inline>
        </w:drawing>
      </w:r>
    </w:p>
    <w:p w14:paraId="3D6EE7BF" w14:textId="5CDE62C7" w:rsidR="000A2D49" w:rsidRPr="00AD7C0C" w:rsidRDefault="000A2D49" w:rsidP="00DA0764">
      <w:pPr>
        <w:ind w:firstLine="720"/>
      </w:pPr>
      <w:r w:rsidRPr="00AD7C0C">
        <w:t xml:space="preserve">O astfel de regulă se numește o regulă de producție. Într-o regulă de producție, elementele lexicale precum cuvântul cheie </w:t>
      </w:r>
      <w:proofErr w:type="spellStart"/>
      <w:r w:rsidRPr="00AD7C0C">
        <w:t>if</w:t>
      </w:r>
      <w:proofErr w:type="spellEnd"/>
      <w:r w:rsidRPr="00AD7C0C">
        <w:t xml:space="preserve"> și parantezele sunt numite terminale. Variabilele precum </w:t>
      </w:r>
      <w:proofErr w:type="spellStart"/>
      <w:r w:rsidRPr="00AD7C0C">
        <w:t>expr</w:t>
      </w:r>
      <w:proofErr w:type="spellEnd"/>
      <w:r w:rsidRPr="00AD7C0C">
        <w:t xml:space="preserve"> și </w:t>
      </w:r>
      <w:proofErr w:type="spellStart"/>
      <w:r w:rsidRPr="00AD7C0C">
        <w:t>stmt</w:t>
      </w:r>
      <w:proofErr w:type="spellEnd"/>
      <w:r w:rsidRPr="00AD7C0C">
        <w:t xml:space="preserve"> sunt numite neterminale</w:t>
      </w:r>
      <w:r w:rsidR="00E748E0" w:rsidRPr="00E748E0">
        <w:rPr>
          <w:vertAlign w:val="superscript"/>
        </w:rPr>
        <w:footnoteReference w:id="10"/>
      </w:r>
      <w:r w:rsidRPr="00AD7C0C">
        <w:t>.</w:t>
      </w:r>
    </w:p>
    <w:p w14:paraId="62BD6559" w14:textId="77777777" w:rsidR="000A2D49" w:rsidRPr="00AD7C0C" w:rsidRDefault="000A2D49" w:rsidP="00DA0764">
      <w:pPr>
        <w:ind w:firstLine="720"/>
      </w:pPr>
      <w:r w:rsidRPr="00AD7C0C">
        <w:t xml:space="preserve">O </w:t>
      </w:r>
      <w:r w:rsidRPr="00554E03">
        <w:rPr>
          <w:b/>
          <w:bCs/>
        </w:rPr>
        <w:t>gramatică independentă de context</w:t>
      </w:r>
      <w:r w:rsidRPr="00AD7C0C">
        <w:t xml:space="preserve"> are patru componente: </w:t>
      </w:r>
    </w:p>
    <w:p w14:paraId="16E5F4CE" w14:textId="77777777" w:rsidR="000A2D49" w:rsidRPr="00AD7C0C" w:rsidRDefault="000A2D49" w:rsidP="00AD7C0C">
      <w:r w:rsidRPr="00AD7C0C">
        <w:t>1. Un set de simboluri terminale, reprezentate de simbolurile elementare ale limbajului definit de gramatică</w:t>
      </w:r>
    </w:p>
    <w:p w14:paraId="0EED44C7" w14:textId="77777777" w:rsidR="000A2D49" w:rsidRPr="00AD7C0C" w:rsidRDefault="000A2D49" w:rsidP="00AD7C0C">
      <w:r w:rsidRPr="00AD7C0C">
        <w:t>2. Un set de neterminale, unde un neterminal reprezintă un șir de terminale</w:t>
      </w:r>
    </w:p>
    <w:p w14:paraId="3F7433C6" w14:textId="06E7D03B" w:rsidR="000A2D49" w:rsidRPr="00AD7C0C" w:rsidRDefault="000A2D49" w:rsidP="00AD7C0C">
      <w:r w:rsidRPr="00AD7C0C">
        <w:t>3. Un set de reguli de producție, unde fiecare regulă de producție constă dintr-un neterminal (partea stângă a regulii de producție), o săgeată și o secvență de terminale și/sau neterminale (partea dreaptă a regulii de producție)</w:t>
      </w:r>
    </w:p>
    <w:p w14:paraId="67F31695" w14:textId="1C5A4A0E" w:rsidR="000A2D49" w:rsidRPr="00AD7C0C" w:rsidRDefault="000A2D49" w:rsidP="00AD7C0C">
      <w:r w:rsidRPr="00AD7C0C">
        <w:t>4.</w:t>
      </w:r>
      <w:r w:rsidR="00F42D86" w:rsidRPr="00AD7C0C">
        <w:t xml:space="preserve"> Un </w:t>
      </w:r>
      <w:r w:rsidRPr="00AD7C0C">
        <w:t>simbol de start</w:t>
      </w:r>
      <w:r w:rsidR="00F42D86" w:rsidRPr="00AD7C0C">
        <w:t xml:space="preserve"> desemnat din rândul neterminalelor</w:t>
      </w:r>
    </w:p>
    <w:p w14:paraId="73B6424B" w14:textId="2A4E6E4D" w:rsidR="000A2D49" w:rsidRDefault="000A2D49" w:rsidP="00DA0764">
      <w:pPr>
        <w:ind w:firstLine="720"/>
      </w:pPr>
      <w:r w:rsidRPr="00AD7C0C">
        <w:t xml:space="preserve">O specificare a unei gramatici se face prin enumerarea regulilor de producție, </w:t>
      </w:r>
      <w:r w:rsidR="00BB5EC4" w:rsidRPr="00AD7C0C">
        <w:t>începând cu</w:t>
      </w:r>
      <w:r w:rsidRPr="00AD7C0C">
        <w:t xml:space="preserve"> regula de producție a simbolului de start. Cifrele, semnele </w:t>
      </w:r>
      <w:r w:rsidR="00166A03" w:rsidRPr="00AD7C0C">
        <w:t xml:space="preserve">(de exemplu, </w:t>
      </w:r>
      <w:r w:rsidRPr="00AD7C0C">
        <w:t>&lt;, &gt;, =</w:t>
      </w:r>
      <w:r w:rsidR="00166A03" w:rsidRPr="00AD7C0C">
        <w:t xml:space="preserve">) </w:t>
      </w:r>
      <w:r w:rsidRPr="00AD7C0C">
        <w:t xml:space="preserve">și cuvintele cheie </w:t>
      </w:r>
      <w:r w:rsidR="00166A03" w:rsidRPr="00AD7C0C">
        <w:t xml:space="preserve">(de exemplu, </w:t>
      </w:r>
      <w:proofErr w:type="spellStart"/>
      <w:r w:rsidRPr="00AD7C0C">
        <w:t>while</w:t>
      </w:r>
      <w:proofErr w:type="spellEnd"/>
      <w:r w:rsidR="00166A03" w:rsidRPr="00AD7C0C">
        <w:t>)</w:t>
      </w:r>
      <w:r w:rsidRPr="00AD7C0C">
        <w:t xml:space="preserve"> sunt terminale. Regulile de producție asociate aceluiași neterminal pot </w:t>
      </w:r>
      <w:r w:rsidR="00840C69" w:rsidRPr="00AD7C0C">
        <w:t xml:space="preserve">fi grupate </w:t>
      </w:r>
      <w:r w:rsidRPr="00AD7C0C">
        <w:t>prin simbolul |, cunoscut în mod convențional drept ,,sau’’</w:t>
      </w:r>
      <w:r w:rsidR="00BF0F1A" w:rsidRPr="00BF0F1A">
        <w:rPr>
          <w:vertAlign w:val="superscript"/>
        </w:rPr>
        <w:footnoteReference w:id="11"/>
      </w:r>
      <w:r w:rsidRPr="00AD7C0C">
        <w:t>.</w:t>
      </w:r>
    </w:p>
    <w:p w14:paraId="1DEA3BB1" w14:textId="79433061" w:rsidR="000663D2" w:rsidRPr="00AD7C0C" w:rsidRDefault="000663D2" w:rsidP="007E715C">
      <w:pPr>
        <w:jc w:val="center"/>
      </w:pPr>
      <w:r w:rsidRPr="000663D2">
        <w:lastRenderedPageBreak/>
        <w:drawing>
          <wp:inline distT="0" distB="0" distL="0" distR="0" wp14:anchorId="21A3E583" wp14:editId="27A89833">
            <wp:extent cx="3170195" cy="2309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0195" cy="2309060"/>
                    </a:xfrm>
                    <a:prstGeom prst="rect">
                      <a:avLst/>
                    </a:prstGeom>
                  </pic:spPr>
                </pic:pic>
              </a:graphicData>
            </a:graphic>
          </wp:inline>
        </w:drawing>
      </w:r>
    </w:p>
    <w:p w14:paraId="7CE1C770" w14:textId="004B565C" w:rsidR="0030698C" w:rsidRPr="00AD7C0C" w:rsidRDefault="0030698C" w:rsidP="00AD7C0C">
      <w:r w:rsidRPr="00AD7C0C">
        <w:t>//poza cu gramatica</w:t>
      </w:r>
      <w:r w:rsidR="00840C69" w:rsidRPr="00AD7C0C">
        <w:t xml:space="preserve"> </w:t>
      </w:r>
      <w:r w:rsidR="00E009DF">
        <w:t>aia simpla pe care am definit-o</w:t>
      </w:r>
      <w:r w:rsidR="00A844C4">
        <w:t>, gramatica unui limbaj primitiv de programare</w:t>
      </w:r>
      <w:r w:rsidR="00554907">
        <w:t xml:space="preserve"> </w:t>
      </w:r>
      <w:r w:rsidR="00817563">
        <w:t xml:space="preserve">gramatica din </w:t>
      </w:r>
      <w:proofErr w:type="spellStart"/>
      <w:r w:rsidR="00817563">
        <w:t>fig</w:t>
      </w:r>
      <w:proofErr w:type="spellEnd"/>
      <w:r w:rsidR="00817563">
        <w:t xml:space="preserve"> </w:t>
      </w:r>
      <w:proofErr w:type="spellStart"/>
      <w:r w:rsidR="00554907">
        <w:t>genereaza</w:t>
      </w:r>
      <w:proofErr w:type="spellEnd"/>
      <w:r w:rsidR="00554907">
        <w:t xml:space="preserve"> un set limitat de </w:t>
      </w:r>
      <w:proofErr w:type="spellStart"/>
      <w:r w:rsidR="00554907">
        <w:t>instr</w:t>
      </w:r>
      <w:proofErr w:type="spellEnd"/>
    </w:p>
    <w:p w14:paraId="02065148" w14:textId="5C0BB3BD" w:rsidR="00380710" w:rsidRDefault="0071793D" w:rsidP="00DA0764">
      <w:pPr>
        <w:ind w:firstLine="720"/>
      </w:pPr>
      <w:r w:rsidRPr="0071793D">
        <w:rPr>
          <w:b/>
          <w:bCs/>
        </w:rPr>
        <w:t>Derivarea</w:t>
      </w:r>
      <w:r>
        <w:t xml:space="preserve"> unor </w:t>
      </w:r>
      <w:r w:rsidR="00D136C1" w:rsidRPr="00AD7C0C">
        <w:t xml:space="preserve">șiruri de caractere </w:t>
      </w:r>
      <w:r>
        <w:t xml:space="preserve">pe baza unei gramatici se face </w:t>
      </w:r>
      <w:r w:rsidR="00D136C1" w:rsidRPr="00AD7C0C">
        <w:t>începând cu simbolul de start și înlocuind în mod repetat un neterminal din regula de producție a simbolului cu corpul unei reguli de producție asociate acelui neterminal</w:t>
      </w:r>
      <w:r w:rsidR="0032549C" w:rsidRPr="00AD7C0C">
        <w:t xml:space="preserve"> (un neterminal poate avea mai multe reguli de producție asociate)</w:t>
      </w:r>
      <w:r w:rsidR="00D136C1" w:rsidRPr="00AD7C0C">
        <w:t>. Șirurile terminale care pot fi derivate din simbolul de start formează limbajul definit de gramatică</w:t>
      </w:r>
      <w:r w:rsidR="004702FA" w:rsidRPr="004702FA">
        <w:rPr>
          <w:vertAlign w:val="superscript"/>
        </w:rPr>
        <w:footnoteReference w:id="12"/>
      </w:r>
      <w:r w:rsidR="00D136C1" w:rsidRPr="00AD7C0C">
        <w:t>.</w:t>
      </w:r>
    </w:p>
    <w:p w14:paraId="7F0F1FB3" w14:textId="3D51B129" w:rsidR="00AD7C0C" w:rsidRPr="00AD7C0C" w:rsidRDefault="00AD7C0C" w:rsidP="00DA0764">
      <w:pPr>
        <w:ind w:firstLine="720"/>
      </w:pPr>
      <w:proofErr w:type="spellStart"/>
      <w:r w:rsidRPr="0071793D">
        <w:rPr>
          <w:b/>
          <w:bCs/>
        </w:rPr>
        <w:t>Parsarea</w:t>
      </w:r>
      <w:proofErr w:type="spellEnd"/>
      <w:r w:rsidR="00CD513F" w:rsidRPr="0071793D">
        <w:rPr>
          <w:b/>
          <w:bCs/>
        </w:rPr>
        <w:t xml:space="preserve"> (analiza sintactică)</w:t>
      </w:r>
      <w:r w:rsidR="00CD513F">
        <w:t xml:space="preserve"> </w:t>
      </w:r>
      <w:r w:rsidRPr="00AD7C0C">
        <w:t xml:space="preserve">este definită de aflarea modului în care un șir de terminale este derivat din simbolul de start al gramaticii, iar în cazul în care șirul de terminale nu poate fi derivat din simbolul de start, de raportarea erorilor de sintaxă. </w:t>
      </w:r>
    </w:p>
    <w:p w14:paraId="02401BA1" w14:textId="34E70286" w:rsidR="00AD7C0C" w:rsidRPr="001171BF" w:rsidRDefault="00AD7C0C" w:rsidP="00DA0764">
      <w:pPr>
        <w:ind w:firstLine="720"/>
        <w:rPr>
          <w:rFonts w:ascii="Roboto" w:hAnsi="Roboto"/>
          <w:color w:val="252525"/>
          <w:sz w:val="27"/>
          <w:szCs w:val="27"/>
        </w:rPr>
      </w:pPr>
      <w:r w:rsidRPr="00AD7C0C">
        <w:t xml:space="preserve">Un </w:t>
      </w:r>
      <w:r w:rsidRPr="0071793D">
        <w:rPr>
          <w:b/>
          <w:bCs/>
        </w:rPr>
        <w:t xml:space="preserve">arbore de </w:t>
      </w:r>
      <w:proofErr w:type="spellStart"/>
      <w:r w:rsidRPr="0071793D">
        <w:rPr>
          <w:b/>
          <w:bCs/>
        </w:rPr>
        <w:t>parsare</w:t>
      </w:r>
      <w:proofErr w:type="spellEnd"/>
      <w:r w:rsidR="0071793D" w:rsidRPr="0071793D">
        <w:rPr>
          <w:b/>
          <w:bCs/>
        </w:rPr>
        <w:t xml:space="preserve"> (arbore de sintaxă abstract)</w:t>
      </w:r>
      <w:r w:rsidRPr="00AD7C0C">
        <w:t xml:space="preserve"> </w:t>
      </w:r>
      <w:r w:rsidR="00AB7D2F">
        <w:t xml:space="preserve">este o imagine a unei derivări, </w:t>
      </w:r>
      <w:proofErr w:type="spellStart"/>
      <w:r w:rsidRPr="00AD7C0C">
        <w:t>arat</w:t>
      </w:r>
      <w:r w:rsidR="00AB7D2F">
        <w:t>ând</w:t>
      </w:r>
      <w:proofErr w:type="spellEnd"/>
      <w:r w:rsidRPr="00AD7C0C">
        <w:t xml:space="preserve"> cum simbolul de start al unei gramatici derivă un șir în limbajul definit de gramatică.</w:t>
      </w:r>
      <w:r w:rsidR="001171BF">
        <w:t xml:space="preserve"> </w:t>
      </w:r>
      <w:r w:rsidR="001171BF" w:rsidRPr="001171BF">
        <w:t>Fiecare nod dintr-un arbore de sintaxă reprezintă un element constitutiv al limbajului</w:t>
      </w:r>
      <w:r w:rsidR="002C5174" w:rsidRPr="002C5174">
        <w:rPr>
          <w:vertAlign w:val="superscript"/>
        </w:rPr>
        <w:footnoteReference w:id="13"/>
      </w:r>
      <w:r w:rsidR="001171BF" w:rsidRPr="001171BF">
        <w:t>.</w:t>
      </w:r>
    </w:p>
    <w:p w14:paraId="70709DDE" w14:textId="77777777" w:rsidR="00AD7C0C" w:rsidRPr="00AD7C0C" w:rsidRDefault="00AD7C0C" w:rsidP="00DA0764">
      <w:pPr>
        <w:ind w:firstLine="720"/>
      </w:pPr>
      <w:r w:rsidRPr="00AD7C0C">
        <w:t xml:space="preserve">Dacă neterminalul A are asociată o regulă de producție A -&gt; XYZ, arborele de </w:t>
      </w:r>
      <w:proofErr w:type="spellStart"/>
      <w:r w:rsidRPr="00AD7C0C">
        <w:t>parsare</w:t>
      </w:r>
      <w:proofErr w:type="spellEnd"/>
      <w:r w:rsidRPr="00AD7C0C">
        <w:t xml:space="preserve"> are un nod interior etichetat cu A cu trei copii etichetați X, Y și Z, de la stânga la dreapta:</w:t>
      </w:r>
    </w:p>
    <w:p w14:paraId="5CE5656E" w14:textId="0EC084B4" w:rsidR="007E715C" w:rsidRDefault="0006162C" w:rsidP="000D0059">
      <w:pPr>
        <w:jc w:val="center"/>
      </w:pPr>
      <w:r w:rsidRPr="0006162C">
        <w:rPr>
          <w:noProof/>
        </w:rPr>
        <w:drawing>
          <wp:inline distT="0" distB="0" distL="0" distR="0" wp14:anchorId="020DEC3F" wp14:editId="6B2CCFA7">
            <wp:extent cx="1851820" cy="112023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1820" cy="1120237"/>
                    </a:xfrm>
                    <a:prstGeom prst="rect">
                      <a:avLst/>
                    </a:prstGeom>
                  </pic:spPr>
                </pic:pic>
              </a:graphicData>
            </a:graphic>
          </wp:inline>
        </w:drawing>
      </w:r>
    </w:p>
    <w:p w14:paraId="2B653833" w14:textId="5CCDC402" w:rsidR="00AD7C0C" w:rsidRDefault="001137AE" w:rsidP="007E715C">
      <w:r>
        <w:t xml:space="preserve">sau as putea face cu </w:t>
      </w:r>
      <w:proofErr w:type="spellStart"/>
      <w:r>
        <w:t>if-else</w:t>
      </w:r>
      <w:proofErr w:type="spellEnd"/>
      <w:r>
        <w:t xml:space="preserve"> ca sa am consistenta</w:t>
      </w:r>
      <w:r w:rsidR="00B8386D">
        <w:t xml:space="preserve"> un arbore de sintaxa pentru gramatica</w:t>
      </w:r>
    </w:p>
    <w:p w14:paraId="69F5E07F" w14:textId="4D19372A" w:rsidR="0006162C" w:rsidRPr="00AD7C0C" w:rsidRDefault="0006162C" w:rsidP="000D0059">
      <w:pPr>
        <w:jc w:val="center"/>
      </w:pPr>
      <w:r w:rsidRPr="0006162C">
        <w:lastRenderedPageBreak/>
        <w:drawing>
          <wp:inline distT="0" distB="0" distL="0" distR="0" wp14:anchorId="5B662C4F" wp14:editId="79BEBBAC">
            <wp:extent cx="3726503" cy="12269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6503" cy="1226926"/>
                    </a:xfrm>
                    <a:prstGeom prst="rect">
                      <a:avLst/>
                    </a:prstGeom>
                  </pic:spPr>
                </pic:pic>
              </a:graphicData>
            </a:graphic>
          </wp:inline>
        </w:drawing>
      </w:r>
    </w:p>
    <w:p w14:paraId="6529D251" w14:textId="5B483F68" w:rsidR="00AD7C0C" w:rsidRPr="00AD7C0C" w:rsidRDefault="0043529E" w:rsidP="00DA0764">
      <w:pPr>
        <w:ind w:firstLine="720"/>
      </w:pPr>
      <w:r>
        <w:t>A</w:t>
      </w:r>
      <w:r w:rsidR="00AD7C0C" w:rsidRPr="00AD7C0C">
        <w:t xml:space="preserve">vând în vedere o gramatică </w:t>
      </w:r>
      <w:r>
        <w:t>independentă de</w:t>
      </w:r>
      <w:r w:rsidR="00AD7C0C" w:rsidRPr="00AD7C0C">
        <w:t xml:space="preserve"> context, un arbore de </w:t>
      </w:r>
      <w:proofErr w:type="spellStart"/>
      <w:r>
        <w:t>parsare</w:t>
      </w:r>
      <w:proofErr w:type="spellEnd"/>
      <w:r w:rsidR="00AD7C0C" w:rsidRPr="00AD7C0C">
        <w:t xml:space="preserve"> este un arbore cu următoarele proprietăți: </w:t>
      </w:r>
    </w:p>
    <w:p w14:paraId="10766CCF" w14:textId="48646A22" w:rsidR="00AD7C0C" w:rsidRPr="00AD7C0C" w:rsidRDefault="00AD7C0C" w:rsidP="00AD7C0C">
      <w:r w:rsidRPr="00AD7C0C">
        <w:t>1. Rădăcina este simbolul de start</w:t>
      </w:r>
      <w:r w:rsidR="004675D0">
        <w:t>;</w:t>
      </w:r>
    </w:p>
    <w:p w14:paraId="2A38EC96" w14:textId="4F486DE5" w:rsidR="00AD7C0C" w:rsidRPr="00AD7C0C" w:rsidRDefault="00AD7C0C" w:rsidP="00AD7C0C">
      <w:r w:rsidRPr="00AD7C0C">
        <w:t>2. Fiecare frunză este un terminal</w:t>
      </w:r>
      <w:r w:rsidR="004675D0">
        <w:t>;</w:t>
      </w:r>
    </w:p>
    <w:p w14:paraId="64D8F07C" w14:textId="28ACD856" w:rsidR="00AD7C0C" w:rsidRDefault="00AD7C0C" w:rsidP="00AD7C0C">
      <w:r w:rsidRPr="00AD7C0C">
        <w:t>3. Fiecare nod interior este un neterminal</w:t>
      </w:r>
      <w:r w:rsidRPr="002C5174">
        <w:rPr>
          <w:vertAlign w:val="superscript"/>
        </w:rPr>
        <w:footnoteReference w:id="14"/>
      </w:r>
      <w:r w:rsidR="004675D0">
        <w:t>.</w:t>
      </w:r>
    </w:p>
    <w:p w14:paraId="6CE94A94" w14:textId="70C315F0" w:rsidR="007747E1" w:rsidRPr="007747E1" w:rsidRDefault="007747E1" w:rsidP="00DA0764">
      <w:pPr>
        <w:ind w:firstLine="720"/>
      </w:pPr>
      <w:r w:rsidRPr="007747E1">
        <w:t xml:space="preserve">Construcția de sus în jos a unui arbore de </w:t>
      </w:r>
      <w:proofErr w:type="spellStart"/>
      <w:r w:rsidRPr="007747E1">
        <w:t>parsare</w:t>
      </w:r>
      <w:proofErr w:type="spellEnd"/>
      <w:r w:rsidRPr="007747E1">
        <w:t xml:space="preserve"> ca cel din Fig. 2.17, se face pornind de la rădăcină, și efectuând în mod repetat următorii doi pași</w:t>
      </w:r>
      <w:r>
        <w:t>:</w:t>
      </w:r>
    </w:p>
    <w:p w14:paraId="4CDEF538" w14:textId="5048A7FC" w:rsidR="007747E1" w:rsidRPr="007747E1" w:rsidRDefault="007747E1" w:rsidP="007747E1">
      <w:r w:rsidRPr="007747E1">
        <w:t>1. Pentru nodul N</w:t>
      </w:r>
      <w:r>
        <w:t xml:space="preserve"> </w:t>
      </w:r>
      <w:r w:rsidRPr="007747E1">
        <w:t>se va selecta una dintre regulile de producție asociate și vor fi construiți copiii pentru simbolurile din corpul regulii de producție</w:t>
      </w:r>
      <w:r w:rsidR="004675D0">
        <w:t>;</w:t>
      </w:r>
    </w:p>
    <w:p w14:paraId="6D53428B" w14:textId="26743936" w:rsidR="001E0998" w:rsidRPr="00AD7C0C" w:rsidRDefault="007747E1" w:rsidP="00AD7C0C">
      <w:r w:rsidRPr="007747E1">
        <w:t>2. Se va găsi următorul nod la care urmează să fie construit un subarbore (de obicei, cel mai din stânga neterminal neexpandat al arborelui)</w:t>
      </w:r>
      <w:r w:rsidRPr="002C5174">
        <w:rPr>
          <w:vertAlign w:val="superscript"/>
        </w:rPr>
        <w:footnoteReference w:id="15"/>
      </w:r>
      <w:r w:rsidR="004675D0">
        <w:t>.</w:t>
      </w:r>
    </w:p>
    <w:p w14:paraId="2CF66DB0" w14:textId="592880A0" w:rsidR="007428D6" w:rsidRPr="00AD7C0C" w:rsidRDefault="007428D6" w:rsidP="00AD7C0C"/>
    <w:p w14:paraId="13445DA0" w14:textId="0FB6CABA" w:rsidR="005D0D18" w:rsidRDefault="00FD7E97" w:rsidP="00AD7C0C">
      <w:r>
        <w:t>Generarea de cod intermediar</w:t>
      </w:r>
    </w:p>
    <w:p w14:paraId="728C0E38" w14:textId="77777777" w:rsidR="00E95CDD" w:rsidRPr="00AD7C0C" w:rsidRDefault="00E95CDD" w:rsidP="00AD7C0C"/>
    <w:p w14:paraId="1F07945D" w14:textId="0438A133" w:rsidR="00A844C4" w:rsidRDefault="00A844C4" w:rsidP="00DA0764">
      <w:pPr>
        <w:ind w:firstLine="720"/>
      </w:pPr>
      <w:r w:rsidRPr="0045319B">
        <w:t xml:space="preserve">Ideea de a asocia diverse proprietăți cu părțile constitutive ale unui limbaj de programare (de exemplu, valori și tipuri cu expresii) poate fi exprimată în cadrul gramaticilor. Neterminalele și terminalele pot avea asociate </w:t>
      </w:r>
      <w:r w:rsidRPr="00851D35">
        <w:rPr>
          <w:b/>
          <w:bCs/>
        </w:rPr>
        <w:t>atribute sintetizate</w:t>
      </w:r>
      <w:r w:rsidRPr="0045319B">
        <w:t xml:space="preserve">, iar regulile de producție pot avea asociate </w:t>
      </w:r>
      <w:r w:rsidRPr="00851D35">
        <w:rPr>
          <w:b/>
          <w:bCs/>
        </w:rPr>
        <w:t>reguli semantice</w:t>
      </w:r>
      <w:r w:rsidRPr="0045319B">
        <w:t xml:space="preserve"> care descriu modul în care atributele sunt calculate la nivelul nodurilor arborelui de </w:t>
      </w:r>
      <w:proofErr w:type="spellStart"/>
      <w:r w:rsidRPr="0045319B">
        <w:t>parsare</w:t>
      </w:r>
      <w:proofErr w:type="spellEnd"/>
      <w:r w:rsidRPr="0045319B">
        <w:t xml:space="preserve"> unde acea regulă de producție este folosită. </w:t>
      </w:r>
    </w:p>
    <w:p w14:paraId="08A02C31" w14:textId="2E247809" w:rsidR="00E37AE6" w:rsidRPr="00511A65" w:rsidRDefault="005D0D18" w:rsidP="00DA0764">
      <w:pPr>
        <w:ind w:firstLine="720"/>
      </w:pPr>
      <w:r w:rsidRPr="00AD7C0C">
        <w:t>Reprezentarea intermediară a codului se realizează cu ajutorul arborilor de sintaxă abstractă ce modelează structura sintactică ierarhică a codului sursă</w:t>
      </w:r>
      <w:r w:rsidRPr="002C5174">
        <w:rPr>
          <w:vertAlign w:val="superscript"/>
        </w:rPr>
        <w:footnoteReference w:id="16"/>
      </w:r>
      <w:r w:rsidRPr="00AD7C0C">
        <w:t xml:space="preserve">. </w:t>
      </w:r>
      <w:r w:rsidR="00E37AE6" w:rsidRPr="00511A65">
        <w:t>Odată ce arborele de sintaxă este construit, codul intermediar poate fi generat</w:t>
      </w:r>
      <w:r w:rsidR="00AA62DA">
        <w:t xml:space="preserve"> </w:t>
      </w:r>
      <w:r w:rsidR="00E37AE6" w:rsidRPr="00511A65">
        <w:t>prin evaluarea atributelor și executarea fragmentelor de cod asociate nodurilor din arbore</w:t>
      </w:r>
      <w:r w:rsidR="002C5174" w:rsidRPr="002C5174">
        <w:rPr>
          <w:vertAlign w:val="superscript"/>
        </w:rPr>
        <w:footnoteReference w:id="17"/>
      </w:r>
      <w:r w:rsidR="00E37AE6" w:rsidRPr="00511A65">
        <w:t>.</w:t>
      </w:r>
    </w:p>
    <w:p w14:paraId="00D38636" w14:textId="0152E73E" w:rsidR="00A844C4" w:rsidRDefault="00A844C4" w:rsidP="00DA0764">
      <w:pPr>
        <w:ind w:firstLine="720"/>
      </w:pPr>
      <w:r w:rsidRPr="0045319B">
        <w:lastRenderedPageBreak/>
        <w:t xml:space="preserve">Se spune că un atribut este sintetizat dacă valoarea lui la un nod al arborelui analizat N este determinată de valorile atributelor copiilor lui N și N însuși. Atributele sintetizate au proprietatea că pot fi evaluate în timpul unei singure traversări de jos în sus a unui arbore de </w:t>
      </w:r>
      <w:proofErr w:type="spellStart"/>
      <w:r w:rsidRPr="0045319B">
        <w:t>parsare</w:t>
      </w:r>
      <w:proofErr w:type="spellEnd"/>
      <w:r w:rsidR="002B00B9" w:rsidRPr="002B00B9">
        <w:rPr>
          <w:vertAlign w:val="superscript"/>
        </w:rPr>
        <w:footnoteReference w:id="18"/>
      </w:r>
      <w:r w:rsidRPr="0045319B">
        <w:t>.</w:t>
      </w:r>
    </w:p>
    <w:p w14:paraId="4DD07199" w14:textId="636E208F" w:rsidR="00A844C4" w:rsidRPr="0045319B" w:rsidRDefault="00A844C4" w:rsidP="00DA0764">
      <w:pPr>
        <w:ind w:firstLine="720"/>
      </w:pPr>
      <w:r w:rsidRPr="0045319B">
        <w:t xml:space="preserve">Fragmentele de cod aferente regulilor semantice sunt executate atunci când regula de producție este utilizată în timpul analizei de sintaxă și realizează </w:t>
      </w:r>
      <w:r w:rsidRPr="00FF1A70">
        <w:rPr>
          <w:b/>
          <w:bCs/>
        </w:rPr>
        <w:t>translatarea direcționată de sintaxă</w:t>
      </w:r>
      <w:r w:rsidR="00FF476A" w:rsidRPr="00FF476A">
        <w:rPr>
          <w:vertAlign w:val="superscript"/>
        </w:rPr>
        <w:footnoteReference w:id="19"/>
      </w:r>
      <w:r w:rsidRPr="0045319B">
        <w:t xml:space="preserve">. </w:t>
      </w:r>
      <w:r>
        <w:t>Procesul de evaluare a v</w:t>
      </w:r>
      <w:r w:rsidRPr="0045319B">
        <w:t>alo</w:t>
      </w:r>
      <w:r>
        <w:t>rii</w:t>
      </w:r>
      <w:r w:rsidRPr="0045319B">
        <w:t xml:space="preserve"> atributului, se numește </w:t>
      </w:r>
      <w:r w:rsidRPr="00FF1A70">
        <w:rPr>
          <w:b/>
          <w:bCs/>
        </w:rPr>
        <w:t>definiție direcționată de sintaxă</w:t>
      </w:r>
      <w:r w:rsidRPr="0045319B">
        <w:t>.</w:t>
      </w:r>
    </w:p>
    <w:p w14:paraId="50A2EC53" w14:textId="77777777" w:rsidR="00A844C4" w:rsidRPr="0045319B" w:rsidRDefault="00A844C4" w:rsidP="00DA0764">
      <w:pPr>
        <w:ind w:firstLine="720"/>
      </w:pPr>
      <w:r w:rsidRPr="0045319B">
        <w:t xml:space="preserve">Pentru un șir de intrare dat, este construit arborele de </w:t>
      </w:r>
      <w:proofErr w:type="spellStart"/>
      <w:r w:rsidRPr="0045319B">
        <w:t>parsare</w:t>
      </w:r>
      <w:proofErr w:type="spellEnd"/>
      <w:r w:rsidRPr="0045319B">
        <w:t>, iar apoi sunt aplicate regulile semantice pentru a evalua atributele fiecărui nod din arbore.</w:t>
      </w:r>
    </w:p>
    <w:p w14:paraId="1551071E" w14:textId="2532A1AF" w:rsidR="00A844C4" w:rsidRDefault="00A844C4" w:rsidP="00DA0764">
      <w:pPr>
        <w:ind w:firstLine="720"/>
      </w:pPr>
      <w:r w:rsidRPr="0045319B">
        <w:t xml:space="preserve">De exemplu, Fig. 2.9 prezintă un arbore de </w:t>
      </w:r>
      <w:proofErr w:type="spellStart"/>
      <w:r w:rsidRPr="0045319B">
        <w:t>parsare</w:t>
      </w:r>
      <w:proofErr w:type="spellEnd"/>
      <w:r w:rsidRPr="0045319B">
        <w:t xml:space="preserve"> adnotat pentru 9-5+2. Valoarea 95-2+ a atributului de la rădăcină este notația </w:t>
      </w:r>
      <w:proofErr w:type="spellStart"/>
      <w:r w:rsidRPr="0045319B">
        <w:t>postfixă</w:t>
      </w:r>
      <w:proofErr w:type="spellEnd"/>
      <w:r w:rsidRPr="0045319B">
        <w:t xml:space="preserve"> pentru 9-5+2.</w:t>
      </w:r>
    </w:p>
    <w:p w14:paraId="22717524" w14:textId="18798B97" w:rsidR="0006162C" w:rsidRPr="0045319B" w:rsidRDefault="0006162C" w:rsidP="000D0059">
      <w:pPr>
        <w:jc w:val="center"/>
      </w:pPr>
      <w:r w:rsidRPr="0006162C">
        <w:drawing>
          <wp:inline distT="0" distB="0" distL="0" distR="0" wp14:anchorId="09ECCB8B" wp14:editId="5C494300">
            <wp:extent cx="4092295" cy="355122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2295" cy="3551228"/>
                    </a:xfrm>
                    <a:prstGeom prst="rect">
                      <a:avLst/>
                    </a:prstGeom>
                  </pic:spPr>
                </pic:pic>
              </a:graphicData>
            </a:graphic>
          </wp:inline>
        </w:drawing>
      </w:r>
    </w:p>
    <w:p w14:paraId="608AD101" w14:textId="77777777" w:rsidR="00A844C4" w:rsidRPr="0045319B" w:rsidRDefault="00A844C4" w:rsidP="00A844C4">
      <w:r w:rsidRPr="0045319B">
        <w:rPr>
          <w:noProof/>
        </w:rPr>
        <w:lastRenderedPageBreak/>
        <w:drawing>
          <wp:inline distT="0" distB="0" distL="0" distR="0" wp14:anchorId="56DD0EB1" wp14:editId="7989753D">
            <wp:extent cx="5677692" cy="3105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692" cy="3105583"/>
                    </a:xfrm>
                    <a:prstGeom prst="rect">
                      <a:avLst/>
                    </a:prstGeom>
                  </pic:spPr>
                </pic:pic>
              </a:graphicData>
            </a:graphic>
          </wp:inline>
        </w:drawing>
      </w:r>
    </w:p>
    <w:p w14:paraId="4880FBAA" w14:textId="77777777" w:rsidR="00A844C4" w:rsidRPr="0045319B" w:rsidRDefault="00A844C4" w:rsidP="00DA0764">
      <w:pPr>
        <w:ind w:firstLine="720"/>
      </w:pPr>
      <w:r w:rsidRPr="0045319B">
        <w:t>Fiecare neterminal (</w:t>
      </w:r>
      <w:proofErr w:type="spellStart"/>
      <w:r w:rsidRPr="0045319B">
        <w:t>expr</w:t>
      </w:r>
      <w:proofErr w:type="spellEnd"/>
      <w:r w:rsidRPr="0045319B">
        <w:t xml:space="preserve">, </w:t>
      </w:r>
      <w:proofErr w:type="spellStart"/>
      <w:r w:rsidRPr="0045319B">
        <w:t>term</w:t>
      </w:r>
      <w:proofErr w:type="spellEnd"/>
      <w:r w:rsidRPr="0045319B">
        <w:t xml:space="preserve">) are un atribut t sub forma unui șir de caractere care reprezintă notația </w:t>
      </w:r>
      <w:proofErr w:type="spellStart"/>
      <w:r w:rsidRPr="0045319B">
        <w:t>postfixă</w:t>
      </w:r>
      <w:proofErr w:type="spellEnd"/>
      <w:r w:rsidRPr="0045319B">
        <w:t xml:space="preserve"> pentru expresia generată de acel neterminal. Simbolul || din regula semantică este operatorul utilizat în mod convențional pentru concatenarea șirurilor.</w:t>
      </w:r>
    </w:p>
    <w:tbl>
      <w:tblPr>
        <w:tblStyle w:val="TableGrid"/>
        <w:tblW w:w="0" w:type="auto"/>
        <w:tblLook w:val="04A0" w:firstRow="1" w:lastRow="0" w:firstColumn="1" w:lastColumn="0" w:noHBand="0" w:noVBand="1"/>
      </w:tblPr>
      <w:tblGrid>
        <w:gridCol w:w="2538"/>
        <w:gridCol w:w="3420"/>
      </w:tblGrid>
      <w:tr w:rsidR="00B03ED6" w14:paraId="3AE32AD0" w14:textId="77777777" w:rsidTr="005D5CA5">
        <w:tc>
          <w:tcPr>
            <w:tcW w:w="2538" w:type="dxa"/>
            <w:tcBorders>
              <w:top w:val="double" w:sz="4" w:space="0" w:color="auto"/>
              <w:bottom w:val="single" w:sz="12" w:space="0" w:color="auto"/>
              <w:right w:val="single" w:sz="12" w:space="0" w:color="auto"/>
            </w:tcBorders>
          </w:tcPr>
          <w:p w14:paraId="10E11924" w14:textId="79625DCD" w:rsidR="00B03ED6" w:rsidRDefault="007449B5" w:rsidP="00A844C4">
            <w:r>
              <w:t>REGULA DE PRODUCȚIE</w:t>
            </w:r>
          </w:p>
        </w:tc>
        <w:tc>
          <w:tcPr>
            <w:tcW w:w="3420" w:type="dxa"/>
            <w:tcBorders>
              <w:top w:val="double" w:sz="4" w:space="0" w:color="auto"/>
              <w:left w:val="single" w:sz="12" w:space="0" w:color="auto"/>
              <w:bottom w:val="single" w:sz="12" w:space="0" w:color="auto"/>
            </w:tcBorders>
          </w:tcPr>
          <w:p w14:paraId="268E4469" w14:textId="487E8D1C" w:rsidR="00B03ED6" w:rsidRDefault="007449B5" w:rsidP="00A844C4">
            <w:r>
              <w:t>REGULA SEMANTICĂ</w:t>
            </w:r>
          </w:p>
        </w:tc>
      </w:tr>
      <w:tr w:rsidR="00B03ED6" w14:paraId="7D1C392B" w14:textId="77777777" w:rsidTr="007449B5">
        <w:tc>
          <w:tcPr>
            <w:tcW w:w="2538" w:type="dxa"/>
            <w:tcBorders>
              <w:top w:val="single" w:sz="12" w:space="0" w:color="auto"/>
              <w:right w:val="single" w:sz="12" w:space="0" w:color="auto"/>
            </w:tcBorders>
          </w:tcPr>
          <w:p w14:paraId="37EE5005" w14:textId="0B88CCCA" w:rsidR="00B03ED6" w:rsidRDefault="00B03ED6" w:rsidP="00A844C4">
            <w:proofErr w:type="spellStart"/>
            <w:r>
              <w:t>expr</w:t>
            </w:r>
            <w:proofErr w:type="spellEnd"/>
            <w:r>
              <w:t xml:space="preserve"> -&gt; expr1 + </w:t>
            </w:r>
            <w:proofErr w:type="spellStart"/>
            <w:r>
              <w:t>term</w:t>
            </w:r>
            <w:proofErr w:type="spellEnd"/>
          </w:p>
        </w:tc>
        <w:tc>
          <w:tcPr>
            <w:tcW w:w="3420" w:type="dxa"/>
            <w:tcBorders>
              <w:top w:val="single" w:sz="12" w:space="0" w:color="auto"/>
              <w:left w:val="single" w:sz="12" w:space="0" w:color="auto"/>
            </w:tcBorders>
          </w:tcPr>
          <w:p w14:paraId="4C809D38" w14:textId="46EC95D9" w:rsidR="00B03ED6" w:rsidRDefault="00B03ED6" w:rsidP="00A844C4">
            <w:r>
              <w:t>expr.t = expr1.t || term.t || ’+’</w:t>
            </w:r>
          </w:p>
        </w:tc>
      </w:tr>
      <w:tr w:rsidR="00B03ED6" w14:paraId="5658A178" w14:textId="77777777" w:rsidTr="007449B5">
        <w:tc>
          <w:tcPr>
            <w:tcW w:w="2538" w:type="dxa"/>
            <w:tcBorders>
              <w:right w:val="single" w:sz="12" w:space="0" w:color="auto"/>
            </w:tcBorders>
          </w:tcPr>
          <w:p w14:paraId="3ECA1FEE" w14:textId="0346A9C1" w:rsidR="00B03ED6" w:rsidRDefault="00B03ED6" w:rsidP="00A844C4">
            <w:proofErr w:type="spellStart"/>
            <w:r>
              <w:t>expr</w:t>
            </w:r>
            <w:proofErr w:type="spellEnd"/>
            <w:r>
              <w:t xml:space="preserve"> -&gt; expr1 - </w:t>
            </w:r>
            <w:proofErr w:type="spellStart"/>
            <w:r>
              <w:t>term</w:t>
            </w:r>
            <w:proofErr w:type="spellEnd"/>
          </w:p>
        </w:tc>
        <w:tc>
          <w:tcPr>
            <w:tcW w:w="3420" w:type="dxa"/>
            <w:tcBorders>
              <w:left w:val="single" w:sz="12" w:space="0" w:color="auto"/>
            </w:tcBorders>
          </w:tcPr>
          <w:p w14:paraId="6B37CA4B" w14:textId="44863DA7" w:rsidR="00B03ED6" w:rsidRDefault="00B03ED6" w:rsidP="00A844C4">
            <w:r>
              <w:t>expr.t = expr1.t || term.t || ’-’</w:t>
            </w:r>
          </w:p>
        </w:tc>
      </w:tr>
      <w:tr w:rsidR="00B03ED6" w14:paraId="47DC7A1A" w14:textId="77777777" w:rsidTr="007449B5">
        <w:tc>
          <w:tcPr>
            <w:tcW w:w="2538" w:type="dxa"/>
            <w:tcBorders>
              <w:right w:val="single" w:sz="12" w:space="0" w:color="auto"/>
            </w:tcBorders>
          </w:tcPr>
          <w:p w14:paraId="21376D1C" w14:textId="445509D0" w:rsidR="00B03ED6" w:rsidRDefault="00B03ED6" w:rsidP="00A844C4">
            <w:proofErr w:type="spellStart"/>
            <w:r>
              <w:t>expr</w:t>
            </w:r>
            <w:proofErr w:type="spellEnd"/>
            <w:r>
              <w:t xml:space="preserve"> -&gt; </w:t>
            </w:r>
            <w:proofErr w:type="spellStart"/>
            <w:r>
              <w:t>term</w:t>
            </w:r>
            <w:proofErr w:type="spellEnd"/>
          </w:p>
        </w:tc>
        <w:tc>
          <w:tcPr>
            <w:tcW w:w="3420" w:type="dxa"/>
            <w:tcBorders>
              <w:left w:val="single" w:sz="12" w:space="0" w:color="auto"/>
            </w:tcBorders>
          </w:tcPr>
          <w:p w14:paraId="66618FF4" w14:textId="510B8C09" w:rsidR="00B03ED6" w:rsidRDefault="00B03ED6" w:rsidP="00A844C4">
            <w:r>
              <w:t>expr.t = term.t</w:t>
            </w:r>
          </w:p>
        </w:tc>
      </w:tr>
      <w:tr w:rsidR="00B03ED6" w14:paraId="22C3D489" w14:textId="77777777" w:rsidTr="007449B5">
        <w:tc>
          <w:tcPr>
            <w:tcW w:w="2538" w:type="dxa"/>
            <w:tcBorders>
              <w:right w:val="single" w:sz="12" w:space="0" w:color="auto"/>
            </w:tcBorders>
          </w:tcPr>
          <w:p w14:paraId="704517F3" w14:textId="7E796FF9" w:rsidR="00B03ED6" w:rsidRDefault="00B03ED6" w:rsidP="00A844C4">
            <w:proofErr w:type="spellStart"/>
            <w:r>
              <w:t>term</w:t>
            </w:r>
            <w:proofErr w:type="spellEnd"/>
            <w:r>
              <w:t xml:space="preserve"> -&gt; 0</w:t>
            </w:r>
          </w:p>
        </w:tc>
        <w:tc>
          <w:tcPr>
            <w:tcW w:w="3420" w:type="dxa"/>
            <w:tcBorders>
              <w:left w:val="single" w:sz="12" w:space="0" w:color="auto"/>
            </w:tcBorders>
          </w:tcPr>
          <w:p w14:paraId="25B4C3AF" w14:textId="3D12967D" w:rsidR="00B03ED6" w:rsidRDefault="00B03ED6" w:rsidP="00A844C4">
            <w:r>
              <w:t>term.t = ’0’</w:t>
            </w:r>
          </w:p>
        </w:tc>
      </w:tr>
      <w:tr w:rsidR="00B03ED6" w14:paraId="7D762476" w14:textId="77777777" w:rsidTr="007449B5">
        <w:tc>
          <w:tcPr>
            <w:tcW w:w="2538" w:type="dxa"/>
            <w:tcBorders>
              <w:right w:val="single" w:sz="12" w:space="0" w:color="auto"/>
            </w:tcBorders>
          </w:tcPr>
          <w:p w14:paraId="4DBD5BF1" w14:textId="4B439BA6" w:rsidR="00B03ED6" w:rsidRDefault="00B03ED6" w:rsidP="00B03ED6">
            <w:pPr>
              <w:tabs>
                <w:tab w:val="left" w:pos="1560"/>
              </w:tabs>
            </w:pPr>
            <w:proofErr w:type="spellStart"/>
            <w:r>
              <w:t>term</w:t>
            </w:r>
            <w:proofErr w:type="spellEnd"/>
            <w:r>
              <w:t xml:space="preserve"> -&gt; 1</w:t>
            </w:r>
          </w:p>
        </w:tc>
        <w:tc>
          <w:tcPr>
            <w:tcW w:w="3420" w:type="dxa"/>
            <w:tcBorders>
              <w:left w:val="single" w:sz="12" w:space="0" w:color="auto"/>
            </w:tcBorders>
          </w:tcPr>
          <w:p w14:paraId="747D1406" w14:textId="3A6A8525" w:rsidR="00B03ED6" w:rsidRDefault="00B03ED6" w:rsidP="00A844C4">
            <w:r>
              <w:t>term.t = ’1’</w:t>
            </w:r>
          </w:p>
        </w:tc>
      </w:tr>
      <w:tr w:rsidR="00B03ED6" w14:paraId="1CD4BF5E" w14:textId="77777777" w:rsidTr="007449B5">
        <w:tc>
          <w:tcPr>
            <w:tcW w:w="2538" w:type="dxa"/>
            <w:tcBorders>
              <w:right w:val="single" w:sz="12" w:space="0" w:color="auto"/>
            </w:tcBorders>
          </w:tcPr>
          <w:p w14:paraId="3861AD7E" w14:textId="1C2E4FDE" w:rsidR="00B03ED6" w:rsidRDefault="00B03ED6" w:rsidP="00A844C4">
            <w:r>
              <w:t>...</w:t>
            </w:r>
          </w:p>
        </w:tc>
        <w:tc>
          <w:tcPr>
            <w:tcW w:w="3420" w:type="dxa"/>
            <w:tcBorders>
              <w:left w:val="single" w:sz="12" w:space="0" w:color="auto"/>
            </w:tcBorders>
          </w:tcPr>
          <w:p w14:paraId="16498089" w14:textId="2FF3F520" w:rsidR="00B03ED6" w:rsidRDefault="00B03ED6" w:rsidP="00A844C4">
            <w:r>
              <w:t>...</w:t>
            </w:r>
          </w:p>
        </w:tc>
      </w:tr>
      <w:tr w:rsidR="00B03ED6" w14:paraId="16F056FC" w14:textId="77777777" w:rsidTr="007449B5">
        <w:tc>
          <w:tcPr>
            <w:tcW w:w="2538" w:type="dxa"/>
            <w:tcBorders>
              <w:right w:val="single" w:sz="12" w:space="0" w:color="auto"/>
            </w:tcBorders>
          </w:tcPr>
          <w:p w14:paraId="28BE4A73" w14:textId="68303E7B" w:rsidR="00B03ED6" w:rsidRDefault="00B03ED6" w:rsidP="00A844C4">
            <w:proofErr w:type="spellStart"/>
            <w:r>
              <w:t>term</w:t>
            </w:r>
            <w:proofErr w:type="spellEnd"/>
            <w:r>
              <w:t xml:space="preserve"> -&gt; 9</w:t>
            </w:r>
          </w:p>
        </w:tc>
        <w:tc>
          <w:tcPr>
            <w:tcW w:w="3420" w:type="dxa"/>
            <w:tcBorders>
              <w:left w:val="single" w:sz="12" w:space="0" w:color="auto"/>
            </w:tcBorders>
          </w:tcPr>
          <w:p w14:paraId="273AD454" w14:textId="4CBFC3B5" w:rsidR="00B03ED6" w:rsidRDefault="00B03ED6" w:rsidP="00A844C4">
            <w:r>
              <w:t>term.t = ’9’</w:t>
            </w:r>
          </w:p>
        </w:tc>
      </w:tr>
    </w:tbl>
    <w:p w14:paraId="17437C9B" w14:textId="6C739DF6" w:rsidR="00A844C4" w:rsidRPr="0045319B" w:rsidRDefault="00A844C4" w:rsidP="00A844C4">
      <w:r w:rsidRPr="0045319B">
        <w:rPr>
          <w:noProof/>
        </w:rPr>
        <w:lastRenderedPageBreak/>
        <w:drawing>
          <wp:anchor distT="0" distB="0" distL="114300" distR="114300" simplePos="0" relativeHeight="251658240" behindDoc="0" locked="0" layoutInCell="1" allowOverlap="1" wp14:anchorId="2963964E" wp14:editId="46BD6FB7">
            <wp:simplePos x="914400" y="914400"/>
            <wp:positionH relativeFrom="column">
              <wp:align>left</wp:align>
            </wp:positionH>
            <wp:positionV relativeFrom="paragraph">
              <wp:align>top</wp:align>
            </wp:positionV>
            <wp:extent cx="5943600" cy="2863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anchor>
        </w:drawing>
      </w:r>
      <w:r w:rsidR="00B03ED6">
        <w:br w:type="textWrapping" w:clear="all"/>
      </w:r>
    </w:p>
    <w:p w14:paraId="1310039A" w14:textId="6D8D543B" w:rsidR="00A844C4" w:rsidRDefault="00A844C4" w:rsidP="00DA0764">
      <w:pPr>
        <w:ind w:firstLine="720"/>
      </w:pPr>
      <w:r w:rsidRPr="0045319B">
        <w:t xml:space="preserve">Forma </w:t>
      </w:r>
      <w:proofErr w:type="spellStart"/>
      <w:r w:rsidRPr="0045319B">
        <w:t>postfixă</w:t>
      </w:r>
      <w:proofErr w:type="spellEnd"/>
      <w:r w:rsidRPr="0045319B">
        <w:t xml:space="preserve"> a unei cifre este cifra însăși. De exemplu, regula semantică asociată cu regula de producție </w:t>
      </w:r>
      <w:proofErr w:type="spellStart"/>
      <w:r w:rsidRPr="0045319B">
        <w:t>term</w:t>
      </w:r>
      <w:proofErr w:type="spellEnd"/>
      <w:r>
        <w:t xml:space="preserve"> </w:t>
      </w:r>
      <w:r w:rsidRPr="0045319B">
        <w:t xml:space="preserve">-&gt; 9 face ca </w:t>
      </w:r>
      <w:proofErr w:type="spellStart"/>
      <w:r w:rsidRPr="0045319B">
        <w:t>term</w:t>
      </w:r>
      <w:proofErr w:type="spellEnd"/>
      <w:r w:rsidRPr="0045319B">
        <w:t xml:space="preserve">-&gt;t să fie 9 ori de câte ori această regulă de producție este utilizată la nivelul unui nod din arborele de </w:t>
      </w:r>
      <w:proofErr w:type="spellStart"/>
      <w:r w:rsidRPr="0045319B">
        <w:t>parsare</w:t>
      </w:r>
      <w:proofErr w:type="spellEnd"/>
      <w:r w:rsidRPr="0045319B">
        <w:t xml:space="preserve">. Celelalte cifre sunt translatate similar. Când regula de producție </w:t>
      </w:r>
      <w:proofErr w:type="spellStart"/>
      <w:r w:rsidRPr="0045319B">
        <w:t>expr</w:t>
      </w:r>
      <w:proofErr w:type="spellEnd"/>
      <w:r w:rsidRPr="0045319B">
        <w:t xml:space="preserve"> -&gt; expr</w:t>
      </w:r>
      <w:r w:rsidRPr="00C106E4">
        <w:rPr>
          <w:vertAlign w:val="subscript"/>
        </w:rPr>
        <w:t>1</w:t>
      </w:r>
      <w:r w:rsidRPr="0045319B">
        <w:t xml:space="preserve"> + </w:t>
      </w:r>
      <w:proofErr w:type="spellStart"/>
      <w:r w:rsidRPr="0045319B">
        <w:t>term</w:t>
      </w:r>
      <w:proofErr w:type="spellEnd"/>
      <w:r w:rsidRPr="0045319B">
        <w:t xml:space="preserve"> este aplicată, valoarea </w:t>
      </w:r>
      <w:proofErr w:type="spellStart"/>
      <w:r w:rsidRPr="0045319B">
        <w:t>term</w:t>
      </w:r>
      <w:proofErr w:type="spellEnd"/>
      <w:r w:rsidRPr="0045319B">
        <w:t xml:space="preserve">-&gt;t preia valoarea </w:t>
      </w:r>
      <w:proofErr w:type="spellStart"/>
      <w:r w:rsidRPr="0045319B">
        <w:t>expr</w:t>
      </w:r>
      <w:proofErr w:type="spellEnd"/>
      <w:r w:rsidRPr="0045319B">
        <w:t>-&gt;t</w:t>
      </w:r>
      <w:r w:rsidR="00FF476A" w:rsidRPr="00FF476A">
        <w:rPr>
          <w:vertAlign w:val="superscript"/>
        </w:rPr>
        <w:footnoteReference w:id="20"/>
      </w:r>
      <w:r w:rsidRPr="0045319B">
        <w:t>.</w:t>
      </w:r>
    </w:p>
    <w:p w14:paraId="6866F4BF" w14:textId="77777777" w:rsidR="00A844C4" w:rsidRPr="00861137" w:rsidRDefault="00A844C4" w:rsidP="00DA0764">
      <w:pPr>
        <w:ind w:firstLine="720"/>
      </w:pPr>
      <w:r w:rsidRPr="00861137">
        <w:t>Definiția direcționată de sintaxă din exemplul precedent are următoarea proprietate importantă: șirul care reprezintă translația neterminalului de la începutul fiecărei reguli de producție este concatenarea translațiilor neterminalelor din corpul regulii de producție, în aceeași ordine ca și în regulă. O definiție direcționată de sintaxă cu această proprietate este denumită simplă.</w:t>
      </w:r>
    </w:p>
    <w:p w14:paraId="50C8405E" w14:textId="7766071D" w:rsidR="00A844C4" w:rsidRPr="00861137" w:rsidRDefault="00A844C4" w:rsidP="00DA0764">
      <w:pPr>
        <w:ind w:firstLine="720"/>
      </w:pPr>
      <w:r w:rsidRPr="00861137">
        <w:t xml:space="preserve">Translatarea </w:t>
      </w:r>
      <w:proofErr w:type="spellStart"/>
      <w:r w:rsidRPr="00861137">
        <w:t>expr</w:t>
      </w:r>
      <w:proofErr w:type="spellEnd"/>
      <w:r w:rsidRPr="00861137">
        <w:t xml:space="preserve">-&gt;t este concatenarea translatărilor lui expr1 și term1, urmată de simbolul +. expr1 și </w:t>
      </w:r>
      <w:proofErr w:type="spellStart"/>
      <w:r w:rsidRPr="00861137">
        <w:t>term</w:t>
      </w:r>
      <w:proofErr w:type="spellEnd"/>
      <w:r w:rsidRPr="00861137">
        <w:t xml:space="preserve"> apar în aceeași ordine atât în ​​corpul regulii de producție, cât și în regula semantică. Nu există simboluri suplimentare înainte sau între translatări. În acest exemplu, singurul simbol suplimentar apare la sfârșit</w:t>
      </w:r>
      <w:r w:rsidR="0028392E" w:rsidRPr="0028392E">
        <w:rPr>
          <w:vertAlign w:val="superscript"/>
        </w:rPr>
        <w:footnoteReference w:id="21"/>
      </w:r>
      <w:r w:rsidRPr="00861137">
        <w:t>.</w:t>
      </w:r>
    </w:p>
    <w:p w14:paraId="2D5A2F17" w14:textId="638843C2" w:rsidR="00A844C4" w:rsidRPr="00861137" w:rsidRDefault="00A844C4" w:rsidP="000D0059">
      <w:pPr>
        <w:ind w:firstLine="720"/>
        <w:jc w:val="center"/>
      </w:pPr>
      <w:r w:rsidRPr="00861137">
        <w:t xml:space="preserve">Parcurgerile de arbori sunt folosite pentru specificarea execuției fragmentelor de cod în cadrul translatării și evaluarea atributelor. O traversare a unui arbore începe de la rădăcină și vizitează fiecare nod al arborelui într-o anumită ordine. Procedura </w:t>
      </w:r>
      <w:proofErr w:type="spellStart"/>
      <w:r w:rsidRPr="00861137">
        <w:t>visit</w:t>
      </w:r>
      <w:proofErr w:type="spellEnd"/>
      <w:r w:rsidRPr="00861137">
        <w:t xml:space="preserve">(N) din Fig. 2.11 reprezintă o traversare în adâncime care vizitează copiii unui nod de la stânga la dreapta, așa cum se arată în Fig. 2.12. Pe parcursul traversării fiecărui nod, este evaluat la final atributul (după ce cu siguranță au fost evaluate </w:t>
      </w:r>
      <w:r w:rsidRPr="00861137">
        <w:lastRenderedPageBreak/>
        <w:t>atributele copiilor).</w:t>
      </w:r>
      <w:r w:rsidR="0006162C" w:rsidRPr="0006162C">
        <w:rPr>
          <w:noProof/>
        </w:rPr>
        <w:t xml:space="preserve"> </w:t>
      </w:r>
      <w:r w:rsidR="0006162C" w:rsidRPr="0006162C">
        <w:drawing>
          <wp:inline distT="0" distB="0" distL="0" distR="0" wp14:anchorId="51197BBF" wp14:editId="59AD2C45">
            <wp:extent cx="5075360" cy="132599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5360" cy="1325995"/>
                    </a:xfrm>
                    <a:prstGeom prst="rect">
                      <a:avLst/>
                    </a:prstGeom>
                  </pic:spPr>
                </pic:pic>
              </a:graphicData>
            </a:graphic>
          </wp:inline>
        </w:drawing>
      </w:r>
    </w:p>
    <w:p w14:paraId="77CD5021" w14:textId="77777777" w:rsidR="00A844C4" w:rsidRPr="00861137" w:rsidRDefault="00A844C4" w:rsidP="00A844C4"/>
    <w:p w14:paraId="1A880CD5" w14:textId="77777777" w:rsidR="00A844C4" w:rsidRPr="00861137" w:rsidRDefault="00A844C4" w:rsidP="00A844C4">
      <w:r w:rsidRPr="00861137">
        <w:rPr>
          <w:noProof/>
        </w:rPr>
        <w:drawing>
          <wp:inline distT="0" distB="0" distL="0" distR="0" wp14:anchorId="0246A79E" wp14:editId="6B98F997">
            <wp:extent cx="4382112" cy="2067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2112" cy="2067213"/>
                    </a:xfrm>
                    <a:prstGeom prst="rect">
                      <a:avLst/>
                    </a:prstGeom>
                  </pic:spPr>
                </pic:pic>
              </a:graphicData>
            </a:graphic>
          </wp:inline>
        </w:drawing>
      </w:r>
    </w:p>
    <w:p w14:paraId="7061112E" w14:textId="30D05E4F" w:rsidR="00A844C4" w:rsidRDefault="00A844C4" w:rsidP="00DA0764">
      <w:pPr>
        <w:ind w:firstLine="720"/>
      </w:pPr>
      <w:r w:rsidRPr="00861137">
        <w:t xml:space="preserve">O definiție direcționată de sintaxă nu impune nicio ordine specifică pentru evaluarea atributelor dintr-un arbore de </w:t>
      </w:r>
      <w:proofErr w:type="spellStart"/>
      <w:r w:rsidRPr="00861137">
        <w:t>parsare</w:t>
      </w:r>
      <w:proofErr w:type="spellEnd"/>
      <w:r w:rsidRPr="00861137">
        <w:t>. Orice ordine de evaluare care calculează un atribut după toate celelalte atribute de care depinde este acceptată. Atributele sintetizate pot fi evaluate în timpul oricărei traversări de jos în sus, adică traversarea care evaluează atributele unui nod după ce au fost evaluate atributele copiilor săi.</w:t>
      </w:r>
      <w:r w:rsidRPr="00861137">
        <w:footnoteReference w:id="22"/>
      </w:r>
    </w:p>
    <w:p w14:paraId="44BED617" w14:textId="7E03309A" w:rsidR="00EB75A6" w:rsidRDefault="00EB75A6" w:rsidP="00DA0764">
      <w:pPr>
        <w:ind w:firstLine="720"/>
      </w:pPr>
      <w:r>
        <w:t xml:space="preserve">Un element constitutiv poate avea cel mult un atribut asociat. În cazul identificatorilor (numelor de constante, variabile sau funcții) </w:t>
      </w:r>
      <w:r w:rsidRPr="00DC5C80">
        <w:t>valoarea atributului este un pointer către intrarea din tabela de simboluri aferentă acestuia care permite accesul la mai multe informații</w:t>
      </w:r>
      <w:r w:rsidR="00D510EA" w:rsidRPr="00D510EA">
        <w:rPr>
          <w:vertAlign w:val="superscript"/>
        </w:rPr>
        <w:footnoteReference w:id="23"/>
      </w:r>
      <w:r w:rsidRPr="00DC5C80">
        <w:t>.</w:t>
      </w:r>
      <w:r>
        <w:rPr>
          <w:rFonts w:ascii="Roboto" w:hAnsi="Roboto"/>
          <w:color w:val="252525"/>
          <w:sz w:val="27"/>
          <w:szCs w:val="27"/>
        </w:rPr>
        <w:t xml:space="preserve"> </w:t>
      </w:r>
    </w:p>
    <w:p w14:paraId="73369E5E" w14:textId="3649394D" w:rsidR="006256E2" w:rsidRDefault="006256E2"/>
    <w:p w14:paraId="2BBEAB74" w14:textId="020A7395" w:rsidR="006256E2" w:rsidRDefault="003E4501" w:rsidP="00AD7C0C">
      <w:r>
        <w:t>Tabela de simboluri</w:t>
      </w:r>
    </w:p>
    <w:p w14:paraId="6600CAB5" w14:textId="77777777" w:rsidR="00E95CDD" w:rsidRDefault="00E95CDD" w:rsidP="00AD7C0C"/>
    <w:p w14:paraId="7F9CA41C" w14:textId="36C75000" w:rsidR="003E4501" w:rsidRPr="000812B2" w:rsidRDefault="006256E2" w:rsidP="00DA0764">
      <w:pPr>
        <w:ind w:firstLine="720"/>
      </w:pPr>
      <w:r w:rsidRPr="000812B2">
        <w:t>Tabelele de simboluri sunt structuri de date care sunt utilizate de compilatoare pentru a păstra informații despre identificatori</w:t>
      </w:r>
      <w:r w:rsidR="004B3AAC" w:rsidRPr="000812B2">
        <w:t xml:space="preserve"> (nume de constante, variabile și funcții)</w:t>
      </w:r>
      <w:r w:rsidRPr="000812B2">
        <w:t xml:space="preserve">. Informațiile sunt colectate în mod incremental de fazele de analiză ale unui compilator și utilizate de fazele de sinteză pentru a genera codul țintă. Intrările din tabela de simboluri conțin informații despre identificatori, cum ar fi șirul de caractere asociat(lexemul), tipul lor, adresa lor din memorie și orice alte informații relevante. </w:t>
      </w:r>
      <w:r w:rsidR="003E4501" w:rsidRPr="000812B2">
        <w:t xml:space="preserve">În cazul </w:t>
      </w:r>
      <w:r w:rsidR="008C31AA" w:rsidRPr="000812B2">
        <w:lastRenderedPageBreak/>
        <w:t xml:space="preserve">procedurilor, sunt stocate informații precum </w:t>
      </w:r>
      <w:r w:rsidR="003E4501" w:rsidRPr="000812B2">
        <w:t>numărul și tipurile argumentelor, metoda de tr</w:t>
      </w:r>
      <w:r w:rsidR="008C31AA" w:rsidRPr="000812B2">
        <w:t>ansmitere a</w:t>
      </w:r>
      <w:r w:rsidR="003E4501" w:rsidRPr="000812B2">
        <w:t xml:space="preserve"> fiec</w:t>
      </w:r>
      <w:r w:rsidR="008C31AA" w:rsidRPr="000812B2">
        <w:t>ărui</w:t>
      </w:r>
      <w:r w:rsidR="003E4501" w:rsidRPr="000812B2">
        <w:t xml:space="preserve"> argument (de exemplu, </w:t>
      </w:r>
      <w:r w:rsidR="008C31AA" w:rsidRPr="000812B2">
        <w:t>prin</w:t>
      </w:r>
      <w:r w:rsidR="003E4501" w:rsidRPr="000812B2">
        <w:t xml:space="preserve"> valoare sau prin referință) și tipul returnat.*aia de la </w:t>
      </w:r>
      <w:proofErr w:type="spellStart"/>
      <w:r w:rsidR="003E4501" w:rsidRPr="000812B2">
        <w:t>inceput</w:t>
      </w:r>
      <w:proofErr w:type="spellEnd"/>
    </w:p>
    <w:p w14:paraId="30F50695" w14:textId="72DDF606" w:rsidR="006256E2" w:rsidRPr="000812B2" w:rsidRDefault="006256E2" w:rsidP="00DA0764">
      <w:pPr>
        <w:ind w:firstLine="720"/>
      </w:pPr>
      <w:r w:rsidRPr="000812B2">
        <w:t>Tabelele de simboluri trebuie de obicei să accepte mai multe declarații ale aceluiași identificator în cadrul unui program (din domenii de valabilitate diferite)</w:t>
      </w:r>
      <w:r w:rsidR="00227035" w:rsidRPr="00227035">
        <w:rPr>
          <w:vertAlign w:val="superscript"/>
        </w:rPr>
        <w:footnoteReference w:id="24"/>
      </w:r>
      <w:r w:rsidRPr="000812B2">
        <w:t>.</w:t>
      </w:r>
    </w:p>
    <w:p w14:paraId="5DCAF86A" w14:textId="530F3242" w:rsidR="00064E83" w:rsidRPr="000812B2" w:rsidRDefault="006256E2" w:rsidP="0006162C">
      <w:pPr>
        <w:ind w:firstLine="720"/>
      </w:pPr>
      <w:r w:rsidRPr="000812B2">
        <w:t>În consecință, rolul unei tabele de simboluri este de a transmite informații de la declarațiile variabilelor către utilizarea acestora. O acțiune semantică pune informații despre identificator în tabela de simboluri, atunci când este analizată declarația acestuia. Ulterior, o acțiune semantică asociată cu o regulă de producție obține informații despre identificator din tabela de simboluri</w:t>
      </w:r>
      <w:r w:rsidR="00227035" w:rsidRPr="00227035">
        <w:rPr>
          <w:vertAlign w:val="superscript"/>
        </w:rPr>
        <w:footnoteReference w:id="25"/>
      </w:r>
      <w:r w:rsidRPr="000812B2">
        <w:t>.</w:t>
      </w:r>
    </w:p>
    <w:p w14:paraId="718285A7" w14:textId="77777777" w:rsidR="006256E2" w:rsidRDefault="006256E2" w:rsidP="006256E2">
      <w:pPr>
        <w:rPr>
          <w:rFonts w:ascii="Roboto" w:hAnsi="Roboto"/>
          <w:color w:val="252525"/>
          <w:sz w:val="27"/>
          <w:szCs w:val="27"/>
        </w:rPr>
      </w:pPr>
    </w:p>
    <w:p w14:paraId="24081715" w14:textId="77777777" w:rsidR="006256E2" w:rsidRPr="00AD7C0C" w:rsidRDefault="006256E2" w:rsidP="00AD7C0C"/>
    <w:sectPr w:rsidR="006256E2" w:rsidRPr="00AD7C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DE201" w14:textId="77777777" w:rsidR="00C01D43" w:rsidRDefault="00C01D43" w:rsidP="00657AF3">
      <w:pPr>
        <w:spacing w:after="0" w:line="240" w:lineRule="auto"/>
      </w:pPr>
      <w:r>
        <w:separator/>
      </w:r>
    </w:p>
  </w:endnote>
  <w:endnote w:type="continuationSeparator" w:id="0">
    <w:p w14:paraId="0C08910A" w14:textId="77777777" w:rsidR="00C01D43" w:rsidRDefault="00C01D43" w:rsidP="00657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43E42" w14:textId="77777777" w:rsidR="00C01D43" w:rsidRDefault="00C01D43" w:rsidP="00657AF3">
      <w:pPr>
        <w:spacing w:after="0" w:line="240" w:lineRule="auto"/>
      </w:pPr>
      <w:r>
        <w:separator/>
      </w:r>
    </w:p>
  </w:footnote>
  <w:footnote w:type="continuationSeparator" w:id="0">
    <w:p w14:paraId="409247CA" w14:textId="77777777" w:rsidR="00C01D43" w:rsidRDefault="00C01D43" w:rsidP="00657AF3">
      <w:pPr>
        <w:spacing w:after="0" w:line="240" w:lineRule="auto"/>
      </w:pPr>
      <w:r>
        <w:continuationSeparator/>
      </w:r>
    </w:p>
  </w:footnote>
  <w:footnote w:id="1">
    <w:p w14:paraId="0E550F4D" w14:textId="22AA5542" w:rsidR="00A671B7" w:rsidRDefault="00A671B7" w:rsidP="00A671B7">
      <w:pPr>
        <w:pStyle w:val="FootnoteText"/>
      </w:pPr>
      <w:r>
        <w:rPr>
          <w:rStyle w:val="FootnoteReference"/>
        </w:rPr>
        <w:footnoteRef/>
      </w:r>
      <w:r>
        <w:t xml:space="preserve"> A</w:t>
      </w:r>
      <w:r w:rsidR="005740B7">
        <w:t>lfred</w:t>
      </w:r>
      <w:r>
        <w:t xml:space="preserve"> Aho, M</w:t>
      </w:r>
      <w:r w:rsidR="005740B7">
        <w:t>onica</w:t>
      </w:r>
      <w:r>
        <w:t xml:space="preserve"> Lam, </w:t>
      </w:r>
      <w:proofErr w:type="spellStart"/>
      <w:r>
        <w:t>R</w:t>
      </w:r>
      <w:r w:rsidR="005740B7">
        <w:t>avi</w:t>
      </w:r>
      <w:proofErr w:type="spellEnd"/>
      <w:r>
        <w:t xml:space="preserve"> </w:t>
      </w:r>
      <w:proofErr w:type="spellStart"/>
      <w:r>
        <w:t>Sethi</w:t>
      </w:r>
      <w:proofErr w:type="spellEnd"/>
      <w:r>
        <w:t xml:space="preserve">, </w:t>
      </w:r>
      <w:proofErr w:type="spellStart"/>
      <w:r>
        <w:t>J</w:t>
      </w:r>
      <w:r w:rsidR="005740B7">
        <w:t>effrey</w:t>
      </w:r>
      <w:proofErr w:type="spellEnd"/>
      <w:r>
        <w:t xml:space="preserve"> </w:t>
      </w:r>
      <w:proofErr w:type="spellStart"/>
      <w:r>
        <w:t>Ullman</w:t>
      </w:r>
      <w:proofErr w:type="spellEnd"/>
      <w:r w:rsidR="00B34604">
        <w:t>,</w:t>
      </w:r>
      <w:r>
        <w:t xml:space="preserve"> </w:t>
      </w:r>
      <w:proofErr w:type="spellStart"/>
      <w:r>
        <w:t>Compilers</w:t>
      </w:r>
      <w:proofErr w:type="spellEnd"/>
      <w:r>
        <w:t xml:space="preserve">: </w:t>
      </w:r>
      <w:proofErr w:type="spellStart"/>
      <w:r>
        <w:t>Principles</w:t>
      </w:r>
      <w:proofErr w:type="spellEnd"/>
      <w:r>
        <w:t xml:space="preserve">, </w:t>
      </w:r>
      <w:proofErr w:type="spellStart"/>
      <w:r>
        <w:t>Techniques</w:t>
      </w:r>
      <w:proofErr w:type="spellEnd"/>
      <w:r>
        <w:t xml:space="preserve">, </w:t>
      </w:r>
      <w:proofErr w:type="spellStart"/>
      <w:r>
        <w:t>and</w:t>
      </w:r>
      <w:proofErr w:type="spellEnd"/>
      <w:r>
        <w:t xml:space="preserve"> </w:t>
      </w:r>
      <w:proofErr w:type="spellStart"/>
      <w:r>
        <w:t>Tools</w:t>
      </w:r>
      <w:proofErr w:type="spellEnd"/>
      <w:r w:rsidR="00443C04">
        <w:t>,</w:t>
      </w:r>
      <w:r>
        <w:t xml:space="preserve"> Addison </w:t>
      </w:r>
      <w:proofErr w:type="spellStart"/>
      <w:r>
        <w:t>Wesley</w:t>
      </w:r>
      <w:proofErr w:type="spellEnd"/>
      <w:r>
        <w:t xml:space="preserve">, Boston, </w:t>
      </w:r>
      <w:r w:rsidR="00740960">
        <w:t xml:space="preserve">USA, </w:t>
      </w:r>
      <w:r>
        <w:t>2006</w:t>
      </w:r>
    </w:p>
  </w:footnote>
  <w:footnote w:id="2">
    <w:p w14:paraId="28E13C5F" w14:textId="33EF6123" w:rsidR="00ED237D" w:rsidRDefault="00ED237D" w:rsidP="00ED237D">
      <w:pPr>
        <w:pStyle w:val="FootnoteText"/>
      </w:pPr>
      <w:r>
        <w:rPr>
          <w:rStyle w:val="FootnoteReference"/>
        </w:rPr>
        <w:footnoteRef/>
      </w:r>
      <w:r>
        <w:t xml:space="preserve"> </w:t>
      </w:r>
      <w:r w:rsidR="00042C8A">
        <w:t xml:space="preserve">Alfred Aho, Monica Lam, </w:t>
      </w:r>
      <w:proofErr w:type="spellStart"/>
      <w:r w:rsidR="00042C8A">
        <w:t>Ravi</w:t>
      </w:r>
      <w:proofErr w:type="spellEnd"/>
      <w:r w:rsidR="00042C8A">
        <w:t xml:space="preserve"> </w:t>
      </w:r>
      <w:proofErr w:type="spellStart"/>
      <w:r w:rsidR="00042C8A">
        <w:t>Sethi</w:t>
      </w:r>
      <w:proofErr w:type="spellEnd"/>
      <w:r w:rsidR="00042C8A">
        <w:t xml:space="preserve">, </w:t>
      </w:r>
      <w:proofErr w:type="spellStart"/>
      <w:r w:rsidR="00042C8A">
        <w:t>Jeffrey</w:t>
      </w:r>
      <w:proofErr w:type="spellEnd"/>
      <w:r w:rsidR="00042C8A">
        <w:t xml:space="preserve"> </w:t>
      </w:r>
      <w:proofErr w:type="spellStart"/>
      <w:r w:rsidR="00042C8A">
        <w:t>Ullman</w:t>
      </w:r>
      <w:proofErr w:type="spellEnd"/>
      <w:r w:rsidR="00B34604">
        <w:t>,</w:t>
      </w:r>
      <w:r w:rsidR="00042C8A">
        <w:t xml:space="preserve"> </w:t>
      </w:r>
      <w:proofErr w:type="spellStart"/>
      <w:r w:rsidR="00042C8A">
        <w:t>Compilers</w:t>
      </w:r>
      <w:proofErr w:type="spellEnd"/>
      <w:r w:rsidR="00042C8A">
        <w:t xml:space="preserve">: </w:t>
      </w:r>
      <w:proofErr w:type="spellStart"/>
      <w:r w:rsidR="00042C8A">
        <w:t>Principles</w:t>
      </w:r>
      <w:proofErr w:type="spellEnd"/>
      <w:r w:rsidR="00042C8A">
        <w:t xml:space="preserve">, </w:t>
      </w:r>
      <w:proofErr w:type="spellStart"/>
      <w:r w:rsidR="00042C8A">
        <w:t>Techniques</w:t>
      </w:r>
      <w:proofErr w:type="spellEnd"/>
      <w:r w:rsidR="00042C8A">
        <w:t xml:space="preserve">, </w:t>
      </w:r>
      <w:proofErr w:type="spellStart"/>
      <w:r w:rsidR="00042C8A">
        <w:t>and</w:t>
      </w:r>
      <w:proofErr w:type="spellEnd"/>
      <w:r w:rsidR="00042C8A">
        <w:t xml:space="preserve"> </w:t>
      </w:r>
      <w:proofErr w:type="spellStart"/>
      <w:r w:rsidR="00042C8A">
        <w:t>Tools</w:t>
      </w:r>
      <w:proofErr w:type="spellEnd"/>
      <w:r w:rsidR="00042C8A">
        <w:t xml:space="preserve">, Addison </w:t>
      </w:r>
      <w:proofErr w:type="spellStart"/>
      <w:r w:rsidR="00042C8A">
        <w:t>Wesley</w:t>
      </w:r>
      <w:proofErr w:type="spellEnd"/>
      <w:r w:rsidR="00042C8A">
        <w:t>, Boston, USA, 2006, p</w:t>
      </w:r>
      <w:r>
        <w:t>. 40</w:t>
      </w:r>
    </w:p>
  </w:footnote>
  <w:footnote w:id="3">
    <w:p w14:paraId="62E0AD7E" w14:textId="4559A8C1" w:rsidR="00ED237D" w:rsidRDefault="00ED237D" w:rsidP="00ED237D">
      <w:pPr>
        <w:pStyle w:val="FootnoteText"/>
      </w:pPr>
      <w:r>
        <w:rPr>
          <w:rStyle w:val="FootnoteReference"/>
        </w:rPr>
        <w:footnoteRef/>
      </w:r>
      <w:r>
        <w:t xml:space="preserve"> </w:t>
      </w:r>
      <w:r w:rsidR="00F34EC5">
        <w:t>Ibidem, p</w:t>
      </w:r>
      <w:r>
        <w:t>. 109</w:t>
      </w:r>
    </w:p>
  </w:footnote>
  <w:footnote w:id="4">
    <w:p w14:paraId="782D6DAA" w14:textId="1EC09D69" w:rsidR="00ED237D" w:rsidRDefault="00ED237D" w:rsidP="00ED237D">
      <w:pPr>
        <w:pStyle w:val="FootnoteText"/>
      </w:pPr>
      <w:r>
        <w:rPr>
          <w:rStyle w:val="FootnoteReference"/>
        </w:rPr>
        <w:footnoteRef/>
      </w:r>
      <w:r>
        <w:t xml:space="preserve"> </w:t>
      </w:r>
      <w:r w:rsidR="00F34EC5">
        <w:t>Ibidem, p</w:t>
      </w:r>
      <w:r>
        <w:t>. 209</w:t>
      </w:r>
    </w:p>
  </w:footnote>
  <w:footnote w:id="5">
    <w:p w14:paraId="09D8CABC" w14:textId="37B2B797" w:rsidR="00ED237D" w:rsidRDefault="00ED237D" w:rsidP="00ED237D">
      <w:pPr>
        <w:pStyle w:val="FootnoteText"/>
      </w:pPr>
      <w:r>
        <w:rPr>
          <w:rStyle w:val="FootnoteReference"/>
        </w:rPr>
        <w:footnoteRef/>
      </w:r>
      <w:r>
        <w:t xml:space="preserve"> </w:t>
      </w:r>
      <w:r w:rsidR="00575F54">
        <w:t>Ibidem, p</w:t>
      </w:r>
      <w:r>
        <w:t>. 216</w:t>
      </w:r>
    </w:p>
  </w:footnote>
  <w:footnote w:id="6">
    <w:p w14:paraId="7E3E4AF9" w14:textId="051343BE" w:rsidR="00771F6B" w:rsidRDefault="00771F6B" w:rsidP="00771F6B">
      <w:pPr>
        <w:pStyle w:val="FootnoteText"/>
      </w:pPr>
      <w:r>
        <w:rPr>
          <w:rStyle w:val="FootnoteReference"/>
        </w:rPr>
        <w:footnoteRef/>
      </w:r>
      <w:r>
        <w:t xml:space="preserve"> </w:t>
      </w:r>
      <w:r w:rsidR="00575F54">
        <w:t>Ibidem, p</w:t>
      </w:r>
      <w:r>
        <w:t>. 97</w:t>
      </w:r>
    </w:p>
  </w:footnote>
  <w:footnote w:id="7">
    <w:p w14:paraId="6B96B2C6" w14:textId="3D29F828" w:rsidR="00771F6B" w:rsidRDefault="00771F6B" w:rsidP="00771F6B">
      <w:pPr>
        <w:pStyle w:val="FootnoteText"/>
      </w:pPr>
      <w:r>
        <w:rPr>
          <w:rStyle w:val="FootnoteReference"/>
        </w:rPr>
        <w:footnoteRef/>
      </w:r>
      <w:r>
        <w:t xml:space="preserve"> </w:t>
      </w:r>
      <w:r w:rsidR="00575F54">
        <w:t>Ibidem, p</w:t>
      </w:r>
      <w:r>
        <w:t>. 92</w:t>
      </w:r>
    </w:p>
  </w:footnote>
  <w:footnote w:id="8">
    <w:p w14:paraId="7AA432AA" w14:textId="7734EE2E" w:rsidR="00771F6B" w:rsidRDefault="00771F6B" w:rsidP="00771F6B">
      <w:pPr>
        <w:pStyle w:val="FootnoteText"/>
      </w:pPr>
      <w:r>
        <w:rPr>
          <w:rStyle w:val="FootnoteReference"/>
        </w:rPr>
        <w:footnoteRef/>
      </w:r>
      <w:r>
        <w:t xml:space="preserve"> </w:t>
      </w:r>
      <w:r w:rsidR="00575F54">
        <w:t>Ibidem, p. 4</w:t>
      </w:r>
    </w:p>
  </w:footnote>
  <w:footnote w:id="9">
    <w:p w14:paraId="41745BE3" w14:textId="12B7069E" w:rsidR="00E748E0" w:rsidRDefault="00E748E0" w:rsidP="00E748E0">
      <w:pPr>
        <w:pStyle w:val="FootnoteText"/>
      </w:pPr>
      <w:r>
        <w:rPr>
          <w:rStyle w:val="FootnoteReference"/>
        </w:rPr>
        <w:footnoteRef/>
      </w:r>
      <w:r>
        <w:t xml:space="preserve"> </w:t>
      </w:r>
      <w:r w:rsidR="00575F54">
        <w:t>Ibidem, p</w:t>
      </w:r>
      <w:r>
        <w:t>. 191</w:t>
      </w:r>
    </w:p>
  </w:footnote>
  <w:footnote w:id="10">
    <w:p w14:paraId="5A80580A" w14:textId="2D62E568" w:rsidR="00E748E0" w:rsidRDefault="00E748E0" w:rsidP="00E748E0">
      <w:pPr>
        <w:pStyle w:val="FootnoteText"/>
      </w:pPr>
      <w:r>
        <w:rPr>
          <w:rStyle w:val="FootnoteReference"/>
        </w:rPr>
        <w:footnoteRef/>
      </w:r>
      <w:r>
        <w:t xml:space="preserve"> </w:t>
      </w:r>
      <w:r w:rsidR="00575F54">
        <w:t>Ibidem, p</w:t>
      </w:r>
      <w:r>
        <w:t>. 42</w:t>
      </w:r>
    </w:p>
  </w:footnote>
  <w:footnote w:id="11">
    <w:p w14:paraId="774678A1" w14:textId="3293FC64" w:rsidR="00BF0F1A" w:rsidRDefault="00BF0F1A" w:rsidP="00BF0F1A">
      <w:pPr>
        <w:pStyle w:val="FootnoteText"/>
      </w:pPr>
      <w:r>
        <w:rPr>
          <w:rStyle w:val="FootnoteReference"/>
        </w:rPr>
        <w:footnoteRef/>
      </w:r>
      <w:r>
        <w:t xml:space="preserve"> </w:t>
      </w:r>
      <w:r w:rsidR="00575F54">
        <w:t>Ibidem, p</w:t>
      </w:r>
      <w:r>
        <w:t>. 43</w:t>
      </w:r>
    </w:p>
  </w:footnote>
  <w:footnote w:id="12">
    <w:p w14:paraId="47FB493A" w14:textId="00D9D10B" w:rsidR="004702FA" w:rsidRDefault="004702FA" w:rsidP="004702FA">
      <w:pPr>
        <w:pStyle w:val="FootnoteText"/>
      </w:pPr>
      <w:r>
        <w:rPr>
          <w:rStyle w:val="FootnoteReference"/>
        </w:rPr>
        <w:footnoteRef/>
      </w:r>
      <w:r>
        <w:t xml:space="preserve"> </w:t>
      </w:r>
      <w:r w:rsidR="00575F54">
        <w:t>Ibidem, p</w:t>
      </w:r>
      <w:r>
        <w:t>. 44</w:t>
      </w:r>
    </w:p>
  </w:footnote>
  <w:footnote w:id="13">
    <w:p w14:paraId="1D5898C9" w14:textId="4E985E91" w:rsidR="002C5174" w:rsidRDefault="002C5174" w:rsidP="002C5174">
      <w:pPr>
        <w:pStyle w:val="FootnoteText"/>
      </w:pPr>
      <w:r>
        <w:rPr>
          <w:rStyle w:val="FootnoteReference"/>
        </w:rPr>
        <w:footnoteRef/>
      </w:r>
      <w:r>
        <w:t xml:space="preserve"> </w:t>
      </w:r>
      <w:r w:rsidR="00575F54">
        <w:t>Ibidem, p</w:t>
      </w:r>
      <w:r>
        <w:t>. 353</w:t>
      </w:r>
    </w:p>
  </w:footnote>
  <w:footnote w:id="14">
    <w:p w14:paraId="5B8ACF15" w14:textId="2BFB2E90" w:rsidR="00AD7C0C" w:rsidRDefault="00AD7C0C" w:rsidP="00AD7C0C">
      <w:pPr>
        <w:pStyle w:val="FootnoteText"/>
      </w:pPr>
      <w:r>
        <w:rPr>
          <w:rStyle w:val="FootnoteReference"/>
        </w:rPr>
        <w:footnoteRef/>
      </w:r>
      <w:r>
        <w:t xml:space="preserve"> </w:t>
      </w:r>
      <w:r w:rsidR="00575F54">
        <w:t>Ibidem, p</w:t>
      </w:r>
      <w:r>
        <w:t>. 45</w:t>
      </w:r>
    </w:p>
  </w:footnote>
  <w:footnote w:id="15">
    <w:p w14:paraId="599E435E" w14:textId="7A65C778" w:rsidR="007747E1" w:rsidRDefault="007747E1" w:rsidP="007747E1">
      <w:pPr>
        <w:pStyle w:val="FootnoteText"/>
      </w:pPr>
      <w:r>
        <w:rPr>
          <w:rStyle w:val="FootnoteReference"/>
        </w:rPr>
        <w:footnoteRef/>
      </w:r>
      <w:r>
        <w:t xml:space="preserve"> </w:t>
      </w:r>
      <w:r w:rsidR="00575F54">
        <w:t>Ibidem, p</w:t>
      </w:r>
      <w:r>
        <w:t>.</w:t>
      </w:r>
      <w:r w:rsidR="00575F54">
        <w:t xml:space="preserve"> </w:t>
      </w:r>
      <w:r>
        <w:t>61</w:t>
      </w:r>
    </w:p>
  </w:footnote>
  <w:footnote w:id="16">
    <w:p w14:paraId="4D9ABF88" w14:textId="3E718BEE" w:rsidR="005D0D18" w:rsidRDefault="005D0D18" w:rsidP="005D0D18">
      <w:pPr>
        <w:pStyle w:val="FootnoteText"/>
      </w:pPr>
      <w:r>
        <w:rPr>
          <w:rStyle w:val="FootnoteReference"/>
        </w:rPr>
        <w:footnoteRef/>
      </w:r>
      <w:r>
        <w:t xml:space="preserve"> </w:t>
      </w:r>
      <w:r w:rsidR="00575F54">
        <w:t>Ibidem, p</w:t>
      </w:r>
      <w:r>
        <w:t>. 41</w:t>
      </w:r>
    </w:p>
  </w:footnote>
  <w:footnote w:id="17">
    <w:p w14:paraId="481DAD49" w14:textId="7E6EB90A" w:rsidR="002C5174" w:rsidRDefault="002C5174" w:rsidP="002C5174">
      <w:pPr>
        <w:pStyle w:val="FootnoteText"/>
      </w:pPr>
      <w:r>
        <w:rPr>
          <w:rStyle w:val="FootnoteReference"/>
        </w:rPr>
        <w:footnoteRef/>
      </w:r>
      <w:r>
        <w:t xml:space="preserve"> </w:t>
      </w:r>
      <w:r w:rsidR="00575F54">
        <w:t>Ibidem, p</w:t>
      </w:r>
      <w:r>
        <w:t>. 99</w:t>
      </w:r>
    </w:p>
  </w:footnote>
  <w:footnote w:id="18">
    <w:p w14:paraId="647DF85C" w14:textId="49163E1F" w:rsidR="002B00B9" w:rsidRDefault="002B00B9" w:rsidP="002B00B9">
      <w:pPr>
        <w:pStyle w:val="FootnoteText"/>
      </w:pPr>
      <w:r>
        <w:rPr>
          <w:rStyle w:val="FootnoteReference"/>
        </w:rPr>
        <w:footnoteRef/>
      </w:r>
      <w:r>
        <w:t xml:space="preserve"> </w:t>
      </w:r>
      <w:r w:rsidR="00575F54">
        <w:t>Ibidem, p</w:t>
      </w:r>
      <w:r>
        <w:t>. 54</w:t>
      </w:r>
    </w:p>
  </w:footnote>
  <w:footnote w:id="19">
    <w:p w14:paraId="12E3F92D" w14:textId="630BB80E" w:rsidR="00FF476A" w:rsidRDefault="00FF476A" w:rsidP="00FF476A">
      <w:pPr>
        <w:pStyle w:val="FootnoteText"/>
      </w:pPr>
      <w:r>
        <w:rPr>
          <w:rStyle w:val="FootnoteReference"/>
        </w:rPr>
        <w:footnoteRef/>
      </w:r>
      <w:r>
        <w:t xml:space="preserve"> </w:t>
      </w:r>
      <w:r w:rsidR="00575F54">
        <w:t>Ibidem, p</w:t>
      </w:r>
      <w:r>
        <w:t>. 53</w:t>
      </w:r>
    </w:p>
  </w:footnote>
  <w:footnote w:id="20">
    <w:p w14:paraId="61E54A1A" w14:textId="3A249A7B" w:rsidR="00FF476A" w:rsidRDefault="00FF476A" w:rsidP="00FF476A">
      <w:pPr>
        <w:pStyle w:val="FootnoteText"/>
      </w:pPr>
      <w:r>
        <w:rPr>
          <w:rStyle w:val="FootnoteReference"/>
        </w:rPr>
        <w:footnoteRef/>
      </w:r>
      <w:r>
        <w:t xml:space="preserve"> </w:t>
      </w:r>
      <w:r w:rsidR="00575F54">
        <w:t>Ibidem, p</w:t>
      </w:r>
      <w:r>
        <w:t>. 55</w:t>
      </w:r>
    </w:p>
  </w:footnote>
  <w:footnote w:id="21">
    <w:p w14:paraId="202BD428" w14:textId="60990E95" w:rsidR="0028392E" w:rsidRDefault="0028392E" w:rsidP="0028392E">
      <w:pPr>
        <w:pStyle w:val="FootnoteText"/>
      </w:pPr>
      <w:r>
        <w:rPr>
          <w:rStyle w:val="FootnoteReference"/>
        </w:rPr>
        <w:footnoteRef/>
      </w:r>
      <w:r>
        <w:t xml:space="preserve"> </w:t>
      </w:r>
      <w:r w:rsidR="00575F54">
        <w:t>Ibidem, p</w:t>
      </w:r>
      <w:r>
        <w:t>.</w:t>
      </w:r>
      <w:r w:rsidR="00575F54">
        <w:t xml:space="preserve"> </w:t>
      </w:r>
      <w:r>
        <w:t>56</w:t>
      </w:r>
    </w:p>
  </w:footnote>
  <w:footnote w:id="22">
    <w:p w14:paraId="475D2CA9" w14:textId="3A37A011" w:rsidR="00A844C4" w:rsidRDefault="00A844C4" w:rsidP="00A844C4">
      <w:pPr>
        <w:pStyle w:val="FootnoteText"/>
      </w:pPr>
      <w:r>
        <w:rPr>
          <w:rStyle w:val="FootnoteReference"/>
        </w:rPr>
        <w:footnoteRef/>
      </w:r>
      <w:r>
        <w:t xml:space="preserve"> </w:t>
      </w:r>
      <w:r w:rsidR="00575F54">
        <w:t>Ibidem, p</w:t>
      </w:r>
      <w:r>
        <w:t>. 57</w:t>
      </w:r>
    </w:p>
  </w:footnote>
  <w:footnote w:id="23">
    <w:p w14:paraId="5B6C839F" w14:textId="19F4940D" w:rsidR="00D510EA" w:rsidRDefault="00D510EA" w:rsidP="00D510EA">
      <w:pPr>
        <w:pStyle w:val="FootnoteText"/>
      </w:pPr>
      <w:r>
        <w:rPr>
          <w:rStyle w:val="FootnoteReference"/>
        </w:rPr>
        <w:footnoteRef/>
      </w:r>
      <w:r>
        <w:t xml:space="preserve"> </w:t>
      </w:r>
      <w:r w:rsidR="00575F54">
        <w:t>Ibidem, p</w:t>
      </w:r>
      <w:r>
        <w:t>. 112</w:t>
      </w:r>
    </w:p>
  </w:footnote>
  <w:footnote w:id="24">
    <w:p w14:paraId="333A96E4" w14:textId="3D6D1B55" w:rsidR="00227035" w:rsidRDefault="00227035" w:rsidP="00227035">
      <w:pPr>
        <w:pStyle w:val="FootnoteText"/>
      </w:pPr>
      <w:r>
        <w:rPr>
          <w:rStyle w:val="FootnoteReference"/>
        </w:rPr>
        <w:footnoteRef/>
      </w:r>
      <w:r>
        <w:t xml:space="preserve"> </w:t>
      </w:r>
      <w:r w:rsidR="00575F54">
        <w:t>Ibidem, p</w:t>
      </w:r>
      <w:r>
        <w:t>. 85</w:t>
      </w:r>
    </w:p>
  </w:footnote>
  <w:footnote w:id="25">
    <w:p w14:paraId="64256219" w14:textId="3D87730B" w:rsidR="00227035" w:rsidRDefault="00227035" w:rsidP="00227035">
      <w:pPr>
        <w:pStyle w:val="FootnoteText"/>
      </w:pPr>
      <w:r>
        <w:rPr>
          <w:rStyle w:val="FootnoteReference"/>
        </w:rPr>
        <w:footnoteRef/>
      </w:r>
      <w:r>
        <w:t xml:space="preserve"> </w:t>
      </w:r>
      <w:r w:rsidR="00575F54">
        <w:t>Ibidem, p</w:t>
      </w:r>
      <w:r>
        <w:t>. 89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7AF3"/>
    <w:rsid w:val="0003208A"/>
    <w:rsid w:val="00036B67"/>
    <w:rsid w:val="00042C8A"/>
    <w:rsid w:val="00052371"/>
    <w:rsid w:val="0006162C"/>
    <w:rsid w:val="00064E83"/>
    <w:rsid w:val="00065598"/>
    <w:rsid w:val="000663D2"/>
    <w:rsid w:val="000812B2"/>
    <w:rsid w:val="000A2D49"/>
    <w:rsid w:val="000D0059"/>
    <w:rsid w:val="000D5352"/>
    <w:rsid w:val="000D5693"/>
    <w:rsid w:val="000D6456"/>
    <w:rsid w:val="001137AE"/>
    <w:rsid w:val="001171BF"/>
    <w:rsid w:val="00142666"/>
    <w:rsid w:val="00143420"/>
    <w:rsid w:val="00153880"/>
    <w:rsid w:val="001606DD"/>
    <w:rsid w:val="00166A03"/>
    <w:rsid w:val="001A19CE"/>
    <w:rsid w:val="001A7E57"/>
    <w:rsid w:val="001E0998"/>
    <w:rsid w:val="002103A5"/>
    <w:rsid w:val="002165FE"/>
    <w:rsid w:val="00227035"/>
    <w:rsid w:val="002475AB"/>
    <w:rsid w:val="00273D62"/>
    <w:rsid w:val="0028392E"/>
    <w:rsid w:val="002B00B9"/>
    <w:rsid w:val="002C1376"/>
    <w:rsid w:val="002C5174"/>
    <w:rsid w:val="002F77F5"/>
    <w:rsid w:val="0030698C"/>
    <w:rsid w:val="0031122E"/>
    <w:rsid w:val="003116D5"/>
    <w:rsid w:val="0032139F"/>
    <w:rsid w:val="0032549C"/>
    <w:rsid w:val="00380710"/>
    <w:rsid w:val="003A727B"/>
    <w:rsid w:val="003B0010"/>
    <w:rsid w:val="003C613B"/>
    <w:rsid w:val="003D019B"/>
    <w:rsid w:val="003D1441"/>
    <w:rsid w:val="003E4501"/>
    <w:rsid w:val="003F1D92"/>
    <w:rsid w:val="0042301F"/>
    <w:rsid w:val="00425868"/>
    <w:rsid w:val="0043529E"/>
    <w:rsid w:val="00443C04"/>
    <w:rsid w:val="00452BCA"/>
    <w:rsid w:val="0045319B"/>
    <w:rsid w:val="004675D0"/>
    <w:rsid w:val="004702FA"/>
    <w:rsid w:val="00471E5C"/>
    <w:rsid w:val="00474B91"/>
    <w:rsid w:val="00485C31"/>
    <w:rsid w:val="00486154"/>
    <w:rsid w:val="004A3A14"/>
    <w:rsid w:val="004B3AAC"/>
    <w:rsid w:val="004B4704"/>
    <w:rsid w:val="004C7BA9"/>
    <w:rsid w:val="00511A65"/>
    <w:rsid w:val="00554907"/>
    <w:rsid w:val="00554E03"/>
    <w:rsid w:val="005740B7"/>
    <w:rsid w:val="00575F54"/>
    <w:rsid w:val="00595D13"/>
    <w:rsid w:val="005B0B3E"/>
    <w:rsid w:val="005D0D18"/>
    <w:rsid w:val="005D5CA5"/>
    <w:rsid w:val="0061007C"/>
    <w:rsid w:val="006222CC"/>
    <w:rsid w:val="006256E2"/>
    <w:rsid w:val="00653DA5"/>
    <w:rsid w:val="00657AF3"/>
    <w:rsid w:val="006A7F88"/>
    <w:rsid w:val="006B4B6C"/>
    <w:rsid w:val="006C01E2"/>
    <w:rsid w:val="006D3F90"/>
    <w:rsid w:val="007156F0"/>
    <w:rsid w:val="0071793D"/>
    <w:rsid w:val="007316D5"/>
    <w:rsid w:val="00736743"/>
    <w:rsid w:val="00740960"/>
    <w:rsid w:val="007428D6"/>
    <w:rsid w:val="007449B5"/>
    <w:rsid w:val="00752A08"/>
    <w:rsid w:val="00755E81"/>
    <w:rsid w:val="00771F6B"/>
    <w:rsid w:val="007747E1"/>
    <w:rsid w:val="00780CA8"/>
    <w:rsid w:val="0078398F"/>
    <w:rsid w:val="0079580F"/>
    <w:rsid w:val="007A0FAB"/>
    <w:rsid w:val="007A5CB8"/>
    <w:rsid w:val="007D50CB"/>
    <w:rsid w:val="007E715C"/>
    <w:rsid w:val="00815F7D"/>
    <w:rsid w:val="00817563"/>
    <w:rsid w:val="00821C37"/>
    <w:rsid w:val="0082333B"/>
    <w:rsid w:val="00840C69"/>
    <w:rsid w:val="0084480A"/>
    <w:rsid w:val="00851D35"/>
    <w:rsid w:val="00861137"/>
    <w:rsid w:val="00875FEE"/>
    <w:rsid w:val="008B3C0F"/>
    <w:rsid w:val="008C07E8"/>
    <w:rsid w:val="008C1F3E"/>
    <w:rsid w:val="008C31AA"/>
    <w:rsid w:val="008E25CA"/>
    <w:rsid w:val="00961BFE"/>
    <w:rsid w:val="0096446B"/>
    <w:rsid w:val="00982FF2"/>
    <w:rsid w:val="00987192"/>
    <w:rsid w:val="00A2231C"/>
    <w:rsid w:val="00A5387F"/>
    <w:rsid w:val="00A56F4D"/>
    <w:rsid w:val="00A671B7"/>
    <w:rsid w:val="00A77A15"/>
    <w:rsid w:val="00A81347"/>
    <w:rsid w:val="00A844C4"/>
    <w:rsid w:val="00A930B1"/>
    <w:rsid w:val="00AA0688"/>
    <w:rsid w:val="00AA1B63"/>
    <w:rsid w:val="00AA62DA"/>
    <w:rsid w:val="00AB7D2F"/>
    <w:rsid w:val="00AC357D"/>
    <w:rsid w:val="00AD7C0C"/>
    <w:rsid w:val="00B03ED6"/>
    <w:rsid w:val="00B055BB"/>
    <w:rsid w:val="00B12386"/>
    <w:rsid w:val="00B34604"/>
    <w:rsid w:val="00B50FE6"/>
    <w:rsid w:val="00B5158D"/>
    <w:rsid w:val="00B64873"/>
    <w:rsid w:val="00B73B8E"/>
    <w:rsid w:val="00B8386D"/>
    <w:rsid w:val="00BA1A8E"/>
    <w:rsid w:val="00BB1C48"/>
    <w:rsid w:val="00BB5EC4"/>
    <w:rsid w:val="00BC4A07"/>
    <w:rsid w:val="00BD117A"/>
    <w:rsid w:val="00BD3459"/>
    <w:rsid w:val="00BD5E68"/>
    <w:rsid w:val="00BF0F1A"/>
    <w:rsid w:val="00BF719E"/>
    <w:rsid w:val="00C01D43"/>
    <w:rsid w:val="00C106E4"/>
    <w:rsid w:val="00C55CCC"/>
    <w:rsid w:val="00C97D7F"/>
    <w:rsid w:val="00CD513F"/>
    <w:rsid w:val="00CE3CDA"/>
    <w:rsid w:val="00D1072C"/>
    <w:rsid w:val="00D136C1"/>
    <w:rsid w:val="00D36CDF"/>
    <w:rsid w:val="00D427D7"/>
    <w:rsid w:val="00D510EA"/>
    <w:rsid w:val="00D61C39"/>
    <w:rsid w:val="00D674A8"/>
    <w:rsid w:val="00D72C51"/>
    <w:rsid w:val="00D75798"/>
    <w:rsid w:val="00DA0764"/>
    <w:rsid w:val="00DB337B"/>
    <w:rsid w:val="00DC5C80"/>
    <w:rsid w:val="00DD5C2B"/>
    <w:rsid w:val="00DD6086"/>
    <w:rsid w:val="00DE49EA"/>
    <w:rsid w:val="00E009DF"/>
    <w:rsid w:val="00E00F2F"/>
    <w:rsid w:val="00E07857"/>
    <w:rsid w:val="00E24AB9"/>
    <w:rsid w:val="00E35479"/>
    <w:rsid w:val="00E37AE6"/>
    <w:rsid w:val="00E42620"/>
    <w:rsid w:val="00E748E0"/>
    <w:rsid w:val="00E805CA"/>
    <w:rsid w:val="00E95CDD"/>
    <w:rsid w:val="00E97DB3"/>
    <w:rsid w:val="00EB75A6"/>
    <w:rsid w:val="00EC006B"/>
    <w:rsid w:val="00EC0398"/>
    <w:rsid w:val="00ED237D"/>
    <w:rsid w:val="00EE5B17"/>
    <w:rsid w:val="00F34EC5"/>
    <w:rsid w:val="00F42D86"/>
    <w:rsid w:val="00F51707"/>
    <w:rsid w:val="00F64712"/>
    <w:rsid w:val="00FB4360"/>
    <w:rsid w:val="00FD7E97"/>
    <w:rsid w:val="00FF1A70"/>
    <w:rsid w:val="00FF4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21C7"/>
  <w15:chartTrackingRefBased/>
  <w15:docId w15:val="{28757891-A310-4A78-A5C1-AC55F892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7A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AF3"/>
    <w:rPr>
      <w:sz w:val="20"/>
      <w:szCs w:val="20"/>
      <w:lang w:val="ro-RO"/>
    </w:rPr>
  </w:style>
  <w:style w:type="character" w:styleId="FootnoteReference">
    <w:name w:val="footnote reference"/>
    <w:basedOn w:val="DefaultParagraphFont"/>
    <w:uiPriority w:val="99"/>
    <w:semiHidden/>
    <w:unhideWhenUsed/>
    <w:rsid w:val="00657AF3"/>
    <w:rPr>
      <w:vertAlign w:val="superscript"/>
    </w:rPr>
  </w:style>
  <w:style w:type="table" w:styleId="TableGrid">
    <w:name w:val="Table Grid"/>
    <w:basedOn w:val="TableNormal"/>
    <w:uiPriority w:val="39"/>
    <w:rsid w:val="00B03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3CD9F-C0B2-4635-AB17-1E3F72B48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10</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Denissa Pilipautanu</dc:creator>
  <cp:keywords/>
  <dc:description/>
  <cp:lastModifiedBy>Denissa Pilipautanu</cp:lastModifiedBy>
  <cp:revision>177</cp:revision>
  <dcterms:created xsi:type="dcterms:W3CDTF">2022-06-15T15:42:00Z</dcterms:created>
  <dcterms:modified xsi:type="dcterms:W3CDTF">2022-06-16T10:47:00Z</dcterms:modified>
</cp:coreProperties>
</file>