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441a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441a"/>
          <w:sz w:val="42"/>
          <w:szCs w:val="42"/>
          <w:u w:val="none"/>
          <w:shd w:fill="auto" w:val="clear"/>
          <w:vertAlign w:val="baseline"/>
          <w:rtl w:val="0"/>
        </w:rPr>
        <w:t xml:space="preserve">Stuart Cansdale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632323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(971) 401-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</w:t>
      </w:r>
      <w:r w:rsidDel="00000000" w:rsidR="00000000" w:rsidRPr="00000000">
        <w:rPr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stuartcansdale@gmail.com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linkedin.com/in/stuartcansdale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Research Associate with 3 years of experience in immunology, 2 years industry experience in and 1 year of experience as a technician at Stanford University. Proficient in a variety of cellular assays, with a strong focus in multi-color flow cytometry. Skilled in dry lab analysis using FlowJo with experience visualizing and interpreting data using Spotfire.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923"/>
        </w:tabs>
        <w:spacing w:after="0" w:before="0" w:lineRule="auto"/>
        <w:rPr>
          <w:color w:val="17441a"/>
          <w:sz w:val="24"/>
          <w:szCs w:val="24"/>
        </w:rPr>
      </w:pPr>
      <w:r w:rsidDel="00000000" w:rsidR="00000000" w:rsidRPr="00000000">
        <w:rPr>
          <w:b w:val="1"/>
          <w:smallCaps w:val="1"/>
          <w:color w:val="17441a"/>
          <w:sz w:val="26"/>
          <w:szCs w:val="26"/>
          <w:u w:val="single"/>
          <w:rtl w:val="0"/>
        </w:rPr>
        <w:t xml:space="preserve">EDUCATION</w:t>
      </w:r>
      <w:r w:rsidDel="00000000" w:rsidR="00000000" w:rsidRPr="00000000">
        <w:rPr>
          <w:b w:val="1"/>
          <w:color w:val="17441a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923"/>
        </w:tabs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B.S.</w:t>
      </w:r>
      <w:r w:rsidDel="00000000" w:rsidR="00000000" w:rsidRPr="00000000">
        <w:rPr>
          <w:sz w:val="24"/>
          <w:szCs w:val="24"/>
          <w:rtl w:val="0"/>
        </w:rPr>
        <w:t xml:space="preserve">, Bioengineering, Santa Clara University, Santa Clara, CA</w:t>
      </w: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Sep 2016 – Jun 2020</w:t>
      </w:r>
    </w:p>
    <w:p w:rsidR="00000000" w:rsidDel="00000000" w:rsidP="00000000" w:rsidRDefault="00000000" w:rsidRPr="00000000" w14:paraId="00000008">
      <w:pPr>
        <w:tabs>
          <w:tab w:val="right" w:leader="none" w:pos="9923"/>
        </w:tabs>
        <w:spacing w:after="0" w:before="0" w:lineRule="auto"/>
        <w:rPr>
          <w:b w:val="1"/>
          <w:smallCaps w:val="1"/>
          <w:color w:val="6323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923"/>
        </w:tabs>
        <w:spacing w:after="0" w:before="0" w:lineRule="auto"/>
        <w:rPr>
          <w:b w:val="1"/>
          <w:color w:val="17441a"/>
          <w:sz w:val="26"/>
          <w:szCs w:val="26"/>
        </w:rPr>
      </w:pPr>
      <w:r w:rsidDel="00000000" w:rsidR="00000000" w:rsidRPr="00000000">
        <w:rPr>
          <w:b w:val="1"/>
          <w:smallCaps w:val="1"/>
          <w:color w:val="17441a"/>
          <w:sz w:val="26"/>
          <w:szCs w:val="26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color w:val="17441a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23"/>
        </w:tabs>
        <w:spacing w:before="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Gamelandia</w:t>
        <w:tab/>
        <w:t xml:space="preserve">Palo Alto,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923"/>
        </w:tabs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Retail Associate / part-time</w:t>
      </w:r>
      <w:r w:rsidDel="00000000" w:rsidR="00000000" w:rsidRPr="00000000">
        <w:rPr>
          <w:sz w:val="24"/>
          <w:szCs w:val="24"/>
          <w:rtl w:val="0"/>
        </w:rPr>
        <w:tab/>
        <w:t xml:space="preserve">May 2024 –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Hosting events, managing inventory, and helping customers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Winner of the National “Hobby Shop of the Year 2024” awarded by TCGPlayer and “Best of Peninsula 2024: Best Place to Take Your Kid” Reader’s Choice awarded by Mercury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923"/>
        </w:tabs>
        <w:spacing w:after="0" w:before="40" w:line="24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Allogene Therapeutics</w:t>
        <w:tab/>
        <w:t xml:space="preserve">South 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923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Associate Scientist / FTE</w:t>
      </w:r>
      <w:r w:rsidDel="00000000" w:rsidR="00000000" w:rsidRPr="00000000">
        <w:rPr>
          <w:sz w:val="24"/>
          <w:szCs w:val="24"/>
          <w:rtl w:val="0"/>
        </w:rPr>
        <w:tab/>
        <w:t xml:space="preserve">Jan 2022 – Apr 2023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Generated allogeneic CAR-T process run data for the analytical and process development teams using multi-color flow cytometry panels for the FACS Verse, Lyric and BD Fortessa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Presented critical flow cytometry data using Spotfire, FlowJo, and FACSDiva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Assessed quality of donor starting material by designing a 32 color panel for the Cytek Aurora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Assisted other product development teams with cell culture, ELISAs, library prep, NGS, and PCR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23"/>
        </w:tabs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Stanford University SNP Center for Allergy &amp; Asthma Research</w:t>
        <w:tab/>
        <w:t xml:space="preserve">Palo Alto,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923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Life Science Technician II / FTE</w:t>
      </w:r>
      <w:r w:rsidDel="00000000" w:rsidR="00000000" w:rsidRPr="00000000">
        <w:rPr>
          <w:sz w:val="24"/>
          <w:szCs w:val="24"/>
          <w:rtl w:val="0"/>
        </w:rPr>
        <w:tab/>
        <w:t xml:space="preserve">Mar 2021 –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Analyzed basophil activation in allergy trial patients using the BD FACS Canto II and Flowjo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Performed analysis using several assays including ELISA, Luminex, PCR, blood smears, ficoll, EpiTOF, and FACS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23"/>
        </w:tabs>
        <w:spacing w:before="6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Gritstone Bio</w:t>
        <w:tab/>
        <w:t xml:space="preserve">Pleasanton,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923"/>
        </w:tabs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Manufacturing Associate II / 6 month contract</w:t>
        <w:tab/>
      </w:r>
      <w:r w:rsidDel="00000000" w:rsidR="00000000" w:rsidRPr="00000000">
        <w:rPr>
          <w:sz w:val="24"/>
          <w:szCs w:val="24"/>
          <w:rtl w:val="0"/>
        </w:rPr>
        <w:t xml:space="preserve">Oct 2020 –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Managed GMP cell lines to manufacture virus for cancer treatments and COVID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Performed bioreactor scale-up from thawing plasmid to 50 liter single-use bioreactors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923"/>
        </w:tabs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 Department of Bioengineering</w:t>
        <w:tab/>
        <w:t xml:space="preserve">Santa Clara, CA</w:t>
      </w:r>
    </w:p>
    <w:p w:rsidR="00000000" w:rsidDel="00000000" w:rsidP="00000000" w:rsidRDefault="00000000" w:rsidRPr="00000000" w14:paraId="0000001D">
      <w:pPr>
        <w:tabs>
          <w:tab w:val="right" w:leader="none" w:pos="9923"/>
        </w:tabs>
        <w:spacing w:after="0" w:before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Research Assistant / part-time</w:t>
        <w:tab/>
      </w:r>
      <w:r w:rsidDel="00000000" w:rsidR="00000000" w:rsidRPr="00000000">
        <w:rPr>
          <w:sz w:val="24"/>
          <w:szCs w:val="24"/>
          <w:rtl w:val="0"/>
        </w:rPr>
        <w:t xml:space="preserve">Dec 2016 – Jun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Co-author of senior thesis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combining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brain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interface using</w:t>
      </w:r>
      <w:r w:rsidDel="00000000" w:rsidR="00000000" w:rsidRPr="00000000">
        <w:rPr>
          <w:sz w:val="24"/>
          <w:szCs w:val="24"/>
          <w:rtl w:val="0"/>
        </w:rPr>
        <w:t xml:space="preserve"> live EEG data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and MATLAB </w:t>
      </w:r>
      <w:r w:rsidDel="00000000" w:rsidR="00000000" w:rsidRPr="00000000">
        <w:rPr>
          <w:sz w:val="24"/>
          <w:szCs w:val="24"/>
          <w:rtl w:val="0"/>
        </w:rPr>
        <w:t xml:space="preserve">to recognize brain states for dynamic prosthetic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923"/>
        </w:tabs>
        <w:rPr>
          <w:color w:val="17441a"/>
          <w:sz w:val="24"/>
          <w:szCs w:val="24"/>
        </w:rPr>
      </w:pPr>
      <w:r w:rsidDel="00000000" w:rsidR="00000000" w:rsidRPr="00000000">
        <w:rPr>
          <w:b w:val="1"/>
          <w:smallCaps w:val="1"/>
          <w:color w:val="17441a"/>
          <w:sz w:val="26"/>
          <w:szCs w:val="26"/>
          <w:u w:val="single"/>
          <w:rtl w:val="0"/>
        </w:rPr>
        <w:t xml:space="preserve">SKILLS</w:t>
      </w:r>
      <w:r w:rsidDel="00000000" w:rsidR="00000000" w:rsidRPr="00000000">
        <w:rPr>
          <w:b w:val="1"/>
          <w:color w:val="17441a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multi-color flow &amp; mass cytometry: Flowjo, FACSDiva, FACSVerse, FACSLyric, Cytek Aurora, BD Fortessa, FACS Canto II, Helios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cell culture: mammalian cell lines, adherent, suspension, closed-system, GMP, bioreactor, scale-up, wave reactors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Benchling, ELN, LIMS, GDP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wet lab: ELISA, MiSeq, ficoll, Western Blot, fluorescence microscopy, PCR, NGS, HPLC, blood smears, EpiTOF, Luminex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923"/>
        </w:tabs>
        <w:rPr>
          <w:b w:val="1"/>
          <w:smallCaps w:val="1"/>
          <w:color w:val="17441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923"/>
        </w:tabs>
        <w:rPr>
          <w:color w:val="17441a"/>
          <w:sz w:val="24"/>
          <w:szCs w:val="24"/>
        </w:rPr>
      </w:pPr>
      <w:r w:rsidDel="00000000" w:rsidR="00000000" w:rsidRPr="00000000">
        <w:rPr>
          <w:b w:val="1"/>
          <w:smallCaps w:val="1"/>
          <w:color w:val="17441a"/>
          <w:sz w:val="26"/>
          <w:szCs w:val="26"/>
          <w:u w:val="single"/>
          <w:rtl w:val="0"/>
        </w:rPr>
        <w:t xml:space="preserve">PUBLICATIONS</w:t>
      </w:r>
      <w:r w:rsidDel="00000000" w:rsidR="00000000" w:rsidRPr="00000000">
        <w:rPr>
          <w:b w:val="1"/>
          <w:color w:val="17441a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right" w:leader="none" w:pos="9923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Y.S. Jung, J. Aguilera, A. Kaushik, J.W. Ha, </w:t>
      </w:r>
      <w:r w:rsidDel="00000000" w:rsidR="00000000" w:rsidRPr="00000000">
        <w:rPr>
          <w:b w:val="1"/>
          <w:sz w:val="24"/>
          <w:szCs w:val="24"/>
          <w:rtl w:val="0"/>
        </w:rPr>
        <w:t xml:space="preserve">S. Cansdale,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al</w:t>
      </w:r>
      <w:r w:rsidDel="00000000" w:rsidR="00000000" w:rsidRPr="00000000">
        <w:rPr>
          <w:sz w:val="24"/>
          <w:szCs w:val="24"/>
          <w:rtl w:val="0"/>
        </w:rPr>
        <w:t xml:space="preserve">., K. Nadeau. “Impact of air pollution exposure on cytokines and histone modification profiles at single-cell levels during pregnancy.”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Science Advances, </w:t>
      </w:r>
      <w:r w:rsidDel="00000000" w:rsidR="00000000" w:rsidRPr="00000000">
        <w:rPr>
          <w:sz w:val="24"/>
          <w:szCs w:val="24"/>
          <w:rtl w:val="0"/>
        </w:rPr>
        <w:t xml:space="preserve">vol. 10, no. 48, 2024.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tabs>
          <w:tab w:val="right" w:leader="none" w:pos="9923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J.W. Ha, J. Aguilera, Y.S. Jung, </w:t>
      </w:r>
      <w:r w:rsidDel="00000000" w:rsidR="00000000" w:rsidRPr="00000000">
        <w:rPr>
          <w:b w:val="1"/>
          <w:sz w:val="24"/>
          <w:szCs w:val="24"/>
          <w:rtl w:val="0"/>
        </w:rPr>
        <w:t xml:space="preserve">S. Cansdale,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al</w:t>
      </w:r>
      <w:r w:rsidDel="00000000" w:rsidR="00000000" w:rsidRPr="00000000">
        <w:rPr>
          <w:sz w:val="24"/>
          <w:szCs w:val="24"/>
          <w:rtl w:val="0"/>
        </w:rPr>
        <w:t xml:space="preserve">., M. Prunicki. “The impacts of ambient air pollution exposure during pregnancy on maternal and neonatal health: Associations of PM2.5 exposure with immune biomarker levels.”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Journal of Allergy and Clinical Immunology,</w:t>
      </w:r>
      <w:r w:rsidDel="00000000" w:rsidR="00000000" w:rsidRPr="00000000">
        <w:rPr>
          <w:sz w:val="24"/>
          <w:szCs w:val="24"/>
          <w:rtl w:val="0"/>
        </w:rPr>
        <w:t xml:space="preserve"> vol. 151, no. 2, 2023.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tabs>
          <w:tab w:val="right" w:leader="none" w:pos="9923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J.W. Ha, N. Castano, </w:t>
      </w:r>
      <w:r w:rsidDel="00000000" w:rsidR="00000000" w:rsidRPr="00000000">
        <w:rPr>
          <w:b w:val="1"/>
          <w:sz w:val="24"/>
          <w:szCs w:val="24"/>
          <w:rtl w:val="0"/>
        </w:rPr>
        <w:t xml:space="preserve">S. Cansdale,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al</w:t>
      </w:r>
      <w:r w:rsidDel="00000000" w:rsidR="00000000" w:rsidRPr="00000000">
        <w:rPr>
          <w:sz w:val="24"/>
          <w:szCs w:val="24"/>
          <w:rtl w:val="0"/>
        </w:rPr>
        <w:t xml:space="preserve">., S. Galli. “</w:t>
      </w:r>
      <w:r w:rsidDel="00000000" w:rsidR="00000000" w:rsidRPr="00000000">
        <w:rPr>
          <w:b w:val="0"/>
          <w:sz w:val="24"/>
          <w:szCs w:val="24"/>
          <w:rtl w:val="0"/>
        </w:rPr>
        <w:t xml:space="preserve">Development of Basophil Activation Test (BAT)-based point-of-care diagnostic tool for allergies.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Journal of Allergy and Clinical Immunology, </w:t>
      </w:r>
      <w:r w:rsidDel="00000000" w:rsidR="00000000" w:rsidRPr="00000000">
        <w:rPr>
          <w:sz w:val="24"/>
          <w:szCs w:val="24"/>
          <w:rtl w:val="0"/>
        </w:rPr>
        <w:t xml:space="preserve">vol. 149, no. 2,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Baculi, </w:t>
      </w:r>
      <w:r w:rsidDel="00000000" w:rsidR="00000000" w:rsidRPr="00000000">
        <w:rPr>
          <w:b w:val="1"/>
          <w:sz w:val="24"/>
          <w:szCs w:val="24"/>
          <w:rtl w:val="0"/>
        </w:rPr>
        <w:t xml:space="preserve">S. Cansdale, </w:t>
      </w:r>
      <w:r w:rsidDel="00000000" w:rsidR="00000000" w:rsidRPr="00000000">
        <w:rPr>
          <w:sz w:val="24"/>
          <w:szCs w:val="24"/>
          <w:rtl w:val="0"/>
        </w:rPr>
        <w:t xml:space="preserve">Y. Yan. “Brainwave Classification for EEG-based Neurofeedback.” </w:t>
      </w:r>
      <w:r w:rsidDel="00000000" w:rsidR="00000000" w:rsidRPr="00000000">
        <w:rPr>
          <w:i w:val="1"/>
          <w:sz w:val="24"/>
          <w:szCs w:val="24"/>
          <w:rtl w:val="0"/>
        </w:rPr>
        <w:t xml:space="preserve">Bioengineering Senior Theses, </w:t>
      </w:r>
      <w:r w:rsidDel="00000000" w:rsidR="00000000" w:rsidRPr="00000000">
        <w:rPr>
          <w:sz w:val="24"/>
          <w:szCs w:val="24"/>
          <w:rtl w:val="0"/>
        </w:rPr>
        <w:t xml:space="preserve">2020.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720" w:left="1152" w:right="1152" w:header="720" w:footer="10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ind w:left="360" w:firstLine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jc w:val="center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+1 (971) 401-7074 | stuartcansdale@gmail.com | linkedin.com/in/stuartcansdale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processingInstructions</vt:lpwstr>
  </property>
</Properties>
</file>