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C5" w:rsidRDefault="00BE5BC5" w:rsidP="00C11A40">
      <w:r>
        <w:t>AUFG</w:t>
      </w:r>
      <w:r w:rsidR="00C11A40">
        <w:t>ABE 1</w:t>
      </w:r>
    </w:p>
    <w:p w:rsidR="000B5FB0" w:rsidRDefault="000B5FB0" w:rsidP="000B5FB0">
      <w:r>
        <w:t>a)</w:t>
      </w:r>
    </w:p>
    <w:p w:rsidR="000B5FB0" w:rsidRDefault="000B5FB0" w:rsidP="000B5FB0">
      <w:pPr>
        <w:pStyle w:val="Listenabsatz"/>
      </w:pPr>
      <w:r>
        <w:t>Man sieht ein Säulendiagramm über Gruppiertes Säulendiagramm: Haushalte in Sachsen. Auf der Y- Achse ist die Anzahl der Haushalte in 1000, startet mit 0 bis 1000 im Schritt von 100. Auf der X-Achse sind im Haushalt lebende Personen, unterteilt in 5 Gruppendiagrammen: „Eine Person“, „Zwei Personen“, „Drei Personen“, „Vier Personen“, „Fünf oder mehr Personen“. Jede Gruppe besteht aus vier Säulen, jede Säule bezeichnet das Jahr und hat eigene Farbe: „2015“ – blau, „2005“- rot, „2000“-grün, „1991“-violett.</w:t>
      </w:r>
    </w:p>
    <w:p w:rsidR="000B5FB0" w:rsidRDefault="000B5FB0" w:rsidP="000B5FB0">
      <w:pPr>
        <w:pStyle w:val="Listenabsatz"/>
      </w:pPr>
    </w:p>
    <w:p w:rsidR="000B5FB0" w:rsidRDefault="000B5FB0" w:rsidP="000B5FB0">
      <w:r>
        <w:t>b)</w:t>
      </w:r>
    </w:p>
    <w:p w:rsidR="000B5FB0" w:rsidRDefault="000B5FB0" w:rsidP="000B5FB0">
      <w:r>
        <w:tab/>
        <w:t xml:space="preserve">Die Abbildung 2 ist die genaue Darstellung des ersten Diagrammes mit dem taktilen Druck. </w:t>
      </w:r>
    </w:p>
    <w:p w:rsidR="007B79E3" w:rsidRPr="00A50BB5" w:rsidRDefault="007B79E3" w:rsidP="00A50BB5">
      <w:pPr>
        <w:pStyle w:val="Listenabsatz"/>
        <w:numPr>
          <w:ilvl w:val="0"/>
          <w:numId w:val="2"/>
        </w:numPr>
        <w:rPr>
          <w:b/>
          <w:sz w:val="28"/>
        </w:rPr>
      </w:pPr>
      <w:r w:rsidRPr="00A50BB5">
        <w:rPr>
          <w:b/>
          <w:sz w:val="28"/>
        </w:rPr>
        <w:t>3.1 KRITERIEN DES BILDAUFBAUS</w:t>
      </w:r>
    </w:p>
    <w:p w:rsidR="007B79E3" w:rsidRPr="00A50BB5" w:rsidRDefault="007B79E3" w:rsidP="007B79E3">
      <w:pPr>
        <w:rPr>
          <w:b/>
          <w:u w:val="single"/>
        </w:rPr>
      </w:pPr>
      <w:r w:rsidRPr="00A50BB5">
        <w:rPr>
          <w:b/>
          <w:u w:val="single"/>
        </w:rPr>
        <w:t>Vorhandensein einer Referenzlinie</w:t>
      </w:r>
    </w:p>
    <w:p w:rsidR="007B79E3" w:rsidRDefault="00A50BB5" w:rsidP="007B79E3">
      <w:r>
        <w:t>B</w:t>
      </w:r>
      <w:r w:rsidR="007B79E3">
        <w:t>ei Grafiken, in denen Größenrelationen illustriert werden, sollte eine</w:t>
      </w:r>
    </w:p>
    <w:p w:rsidR="007B79E3" w:rsidRDefault="007B79E3" w:rsidP="007B79E3">
      <w:r>
        <w:t>Referenzlinie vorhanden sein.</w:t>
      </w:r>
      <w:r>
        <w:cr/>
      </w:r>
    </w:p>
    <w:p w:rsidR="00A50BB5" w:rsidRPr="00A50BB5" w:rsidRDefault="00A50BB5" w:rsidP="007B79E3">
      <w:pPr>
        <w:rPr>
          <w:b/>
          <w:i/>
          <w:sz w:val="28"/>
        </w:rPr>
      </w:pPr>
      <w:r w:rsidRPr="00A50BB5">
        <w:rPr>
          <w:i/>
        </w:rPr>
        <w:t>Die unterste Zeile des Diagrammes sollte durch eine dickere Linie ersetzt werden.</w:t>
      </w:r>
    </w:p>
    <w:p w:rsidR="007B79E3" w:rsidRPr="00A50BB5" w:rsidRDefault="007B79E3" w:rsidP="00A50BB5">
      <w:pPr>
        <w:pStyle w:val="Listenabsatz"/>
        <w:numPr>
          <w:ilvl w:val="0"/>
          <w:numId w:val="2"/>
        </w:numPr>
        <w:rPr>
          <w:b/>
          <w:sz w:val="28"/>
        </w:rPr>
      </w:pPr>
      <w:r w:rsidRPr="00A50BB5">
        <w:rPr>
          <w:b/>
          <w:sz w:val="28"/>
        </w:rPr>
        <w:t>3.2 ALLGEMEINE KRITERIEN FÜR BILDELEMENTE</w:t>
      </w:r>
    </w:p>
    <w:p w:rsidR="00A50BB5" w:rsidRPr="00A50BB5" w:rsidRDefault="00A50BB5" w:rsidP="00A50BB5">
      <w:pPr>
        <w:rPr>
          <w:b/>
          <w:u w:val="single"/>
        </w:rPr>
      </w:pPr>
      <w:r w:rsidRPr="00A50BB5">
        <w:rPr>
          <w:b/>
          <w:u w:val="single"/>
        </w:rPr>
        <w:t>Einhaltung eines Mindestabstands</w:t>
      </w:r>
    </w:p>
    <w:p w:rsidR="007B79E3" w:rsidRDefault="007B79E3" w:rsidP="007B79E3">
      <w:r>
        <w:t>Für die Wahrnehmbarkeit einzelner taktiler Elemente ist ein gewisser Mindestabstand nötig.</w:t>
      </w:r>
    </w:p>
    <w:p w:rsidR="007B79E3" w:rsidRPr="00A50BB5" w:rsidRDefault="00A50BB5" w:rsidP="007B79E3">
      <w:pPr>
        <w:rPr>
          <w:i/>
        </w:rPr>
      </w:pPr>
      <w:r w:rsidRPr="00A50BB5">
        <w:rPr>
          <w:i/>
        </w:rPr>
        <w:t>Zwischen den Balken sollte mehr Abstand sein.</w:t>
      </w:r>
    </w:p>
    <w:p w:rsidR="00A50BB5" w:rsidRDefault="00E6167F" w:rsidP="00A50BB5">
      <w:pPr>
        <w:pStyle w:val="Listenabsatz"/>
        <w:numPr>
          <w:ilvl w:val="0"/>
          <w:numId w:val="2"/>
        </w:numPr>
        <w:rPr>
          <w:b/>
          <w:sz w:val="28"/>
        </w:rPr>
      </w:pPr>
      <w:r w:rsidRPr="00A50BB5">
        <w:rPr>
          <w:b/>
          <w:sz w:val="28"/>
        </w:rPr>
        <w:t>3.4 Kriterien für taktile Linien</w:t>
      </w:r>
    </w:p>
    <w:p w:rsidR="00A50BB5" w:rsidRPr="00A50BB5" w:rsidRDefault="00E6167F" w:rsidP="00A50BB5">
      <w:pPr>
        <w:rPr>
          <w:b/>
          <w:u w:val="single"/>
        </w:rPr>
      </w:pPr>
      <w:r w:rsidRPr="00A50BB5">
        <w:rPr>
          <w:b/>
          <w:u w:val="single"/>
        </w:rPr>
        <w:t xml:space="preserve"> </w:t>
      </w:r>
      <w:r w:rsidRPr="00A50BB5">
        <w:rPr>
          <w:b/>
          <w:u w:val="single"/>
        </w:rPr>
        <w:t>Linienverfolgung</w:t>
      </w:r>
      <w:r w:rsidRPr="00A50BB5">
        <w:rPr>
          <w:b/>
          <w:u w:val="single"/>
        </w:rPr>
        <w:t xml:space="preserve">: </w:t>
      </w:r>
    </w:p>
    <w:p w:rsidR="000B5FB0" w:rsidRDefault="00E6167F" w:rsidP="00A50BB5">
      <w:r w:rsidRPr="00A50BB5">
        <w:t>Linien müssen gut taktil verfolgbar sein, ohne dass der Leser den Anschluss verliert.</w:t>
      </w:r>
    </w:p>
    <w:p w:rsidR="00D624FB" w:rsidRPr="00A50BB5" w:rsidRDefault="00D624FB" w:rsidP="00D624FB">
      <w:pPr>
        <w:rPr>
          <w:i/>
        </w:rPr>
      </w:pPr>
      <w:r w:rsidRPr="00A50BB5">
        <w:rPr>
          <w:i/>
        </w:rPr>
        <w:t>Zwischen den Balken sollte mehr Abstand sein.</w:t>
      </w:r>
    </w:p>
    <w:p w:rsidR="00D624FB" w:rsidRPr="00A50BB5" w:rsidRDefault="00D624FB" w:rsidP="00A50BB5"/>
    <w:p w:rsidR="00E6167F" w:rsidRPr="00A50BB5" w:rsidRDefault="00E6167F" w:rsidP="00E6167F">
      <w:pPr>
        <w:rPr>
          <w:b/>
          <w:u w:val="single"/>
        </w:rPr>
      </w:pPr>
      <w:r w:rsidRPr="00A50BB5">
        <w:rPr>
          <w:b/>
          <w:u w:val="single"/>
        </w:rPr>
        <w:t>Abstand zwischen Linien</w:t>
      </w:r>
    </w:p>
    <w:p w:rsidR="00A50BB5" w:rsidRPr="00A50BB5" w:rsidRDefault="00A50BB5" w:rsidP="00E6167F">
      <w:pPr>
        <w:rPr>
          <w:b/>
        </w:rPr>
      </w:pPr>
      <w:r>
        <w:t>Um zwei Linien als separate Linien zu erkennen, müssen diese einen gewissen Abstand zueinander aufweisen</w:t>
      </w:r>
      <w:r>
        <w:t>.</w:t>
      </w:r>
    </w:p>
    <w:p w:rsidR="00D624FB" w:rsidRPr="00A50BB5" w:rsidRDefault="00D624FB" w:rsidP="00D624FB">
      <w:pPr>
        <w:rPr>
          <w:i/>
        </w:rPr>
      </w:pPr>
      <w:r w:rsidRPr="00A50BB5">
        <w:rPr>
          <w:i/>
        </w:rPr>
        <w:t>Zwischen den Balken sollte mehr Abstand sein.</w:t>
      </w:r>
    </w:p>
    <w:p w:rsidR="00E6167F" w:rsidRDefault="00E6167F" w:rsidP="00E6167F"/>
    <w:p w:rsidR="00E6167F" w:rsidRPr="00A50BB5" w:rsidRDefault="00E6167F" w:rsidP="00A50BB5">
      <w:pPr>
        <w:pStyle w:val="Listenabsatz"/>
        <w:numPr>
          <w:ilvl w:val="0"/>
          <w:numId w:val="2"/>
        </w:numPr>
        <w:rPr>
          <w:b/>
          <w:sz w:val="28"/>
        </w:rPr>
      </w:pPr>
      <w:r w:rsidRPr="00A50BB5">
        <w:rPr>
          <w:b/>
          <w:sz w:val="28"/>
        </w:rPr>
        <w:t>3.5 KRITERIEN FÜR BRAILLEBESCHRIFTUNGEN</w:t>
      </w:r>
    </w:p>
    <w:p w:rsidR="00E6167F" w:rsidRPr="00A50BB5" w:rsidRDefault="00E6167F" w:rsidP="00E6167F">
      <w:pPr>
        <w:rPr>
          <w:b/>
          <w:u w:val="single"/>
        </w:rPr>
      </w:pPr>
      <w:r w:rsidRPr="00A50BB5">
        <w:rPr>
          <w:b/>
          <w:u w:val="single"/>
        </w:rPr>
        <w:t>Platzierung von Beschriftungen</w:t>
      </w:r>
    </w:p>
    <w:p w:rsidR="00E6167F" w:rsidRDefault="00E6167F" w:rsidP="00E6167F">
      <w:r>
        <w:t>Beschriftungen sollten konsistent und gut lesbar in der Grafik platziert werden.</w:t>
      </w:r>
    </w:p>
    <w:p w:rsidR="00E6167F" w:rsidRDefault="00E6167F" w:rsidP="00E6167F">
      <w:r>
        <w:lastRenderedPageBreak/>
        <w:t>Empfehlungen zur Umsetzung des Kriteriums:</w:t>
      </w:r>
    </w:p>
    <w:p w:rsidR="00E6167F" w:rsidRDefault="00E6167F" w:rsidP="00E6167F">
      <w:r>
        <w:t>• horizontale Ausrichtung entsprechend der Orientierung der taktilen Grafik</w:t>
      </w:r>
      <w:r>
        <w:cr/>
      </w:r>
    </w:p>
    <w:p w:rsidR="00D624FB" w:rsidRPr="00D624FB" w:rsidRDefault="00D624FB" w:rsidP="00E6167F">
      <w:pPr>
        <w:rPr>
          <w:i/>
        </w:rPr>
      </w:pPr>
      <w:r w:rsidRPr="00D624FB">
        <w:rPr>
          <w:i/>
        </w:rPr>
        <w:t>Die Beschriftung „Die Anzahl der Haushalte in 1000“ in Braille sollte horizontal dargestellt werden.</w:t>
      </w:r>
    </w:p>
    <w:p w:rsidR="00D624FB" w:rsidRDefault="00D624FB" w:rsidP="00E6167F"/>
    <w:p w:rsidR="00E6167F" w:rsidRPr="00A50BB5" w:rsidRDefault="00E6167F" w:rsidP="00A50BB5">
      <w:pPr>
        <w:pStyle w:val="Listenabsatz"/>
        <w:numPr>
          <w:ilvl w:val="0"/>
          <w:numId w:val="2"/>
        </w:numPr>
        <w:rPr>
          <w:b/>
          <w:sz w:val="28"/>
        </w:rPr>
      </w:pPr>
      <w:r w:rsidRPr="00A50BB5">
        <w:rPr>
          <w:b/>
          <w:sz w:val="28"/>
        </w:rPr>
        <w:t>3.6 KRITERIEN FÜR LEGENDEN</w:t>
      </w:r>
    </w:p>
    <w:p w:rsidR="007B79E3" w:rsidRPr="00A50BB5" w:rsidRDefault="007B79E3" w:rsidP="00E6167F">
      <w:pPr>
        <w:rPr>
          <w:b/>
          <w:u w:val="single"/>
        </w:rPr>
      </w:pPr>
      <w:r w:rsidRPr="00A50BB5">
        <w:rPr>
          <w:b/>
          <w:u w:val="single"/>
        </w:rPr>
        <w:t>Titel der Grafik</w:t>
      </w:r>
    </w:p>
    <w:p w:rsidR="007B79E3" w:rsidRDefault="007B79E3" w:rsidP="00E6167F">
      <w:r>
        <w:t xml:space="preserve">Falls die Legende direkt neben der Grafik platziert ist, dann nur "Legende" als Label </w:t>
      </w:r>
      <w:proofErr w:type="gramStart"/>
      <w:r>
        <w:t>darüber schreiben</w:t>
      </w:r>
      <w:proofErr w:type="gramEnd"/>
      <w:r>
        <w:t xml:space="preserve"> sowie mit einem Rahmen versehen, sodass sie sich eindeutig von der Grafik abgrenzt</w:t>
      </w:r>
    </w:p>
    <w:p w:rsidR="00D624FB" w:rsidRDefault="00D624FB" w:rsidP="00E6167F">
      <w:pPr>
        <w:rPr>
          <w:lang w:val="ru-RU"/>
        </w:rPr>
      </w:pPr>
    </w:p>
    <w:p w:rsidR="00D624FB" w:rsidRPr="00D624FB" w:rsidRDefault="00D624FB" w:rsidP="00D624FB">
      <w:pPr>
        <w:rPr>
          <w:i/>
        </w:rPr>
      </w:pPr>
      <w:r w:rsidRPr="00D624FB">
        <w:rPr>
          <w:i/>
        </w:rPr>
        <w:t>Nach dem Titel „</w:t>
      </w:r>
      <w:r w:rsidRPr="00D624FB">
        <w:rPr>
          <w:i/>
        </w:rPr>
        <w:t>Gruppiert</w:t>
      </w:r>
      <w:r w:rsidRPr="00D624FB">
        <w:rPr>
          <w:i/>
        </w:rPr>
        <w:t xml:space="preserve">es Säulendiagramm: Haushalte in </w:t>
      </w:r>
      <w:r w:rsidRPr="00D624FB">
        <w:rPr>
          <w:i/>
        </w:rPr>
        <w:t>Sachsen</w:t>
      </w:r>
      <w:r w:rsidRPr="00D624FB">
        <w:rPr>
          <w:i/>
        </w:rPr>
        <w:t>“ sollte zusätzlich die 4 Texturen für die Säulen mit</w:t>
      </w:r>
      <w:bookmarkStart w:id="0" w:name="_GoBack"/>
      <w:bookmarkEnd w:id="0"/>
      <w:r w:rsidRPr="00D624FB">
        <w:rPr>
          <w:i/>
        </w:rPr>
        <w:t xml:space="preserve"> „Legende“ bezeichnet werden.</w:t>
      </w:r>
    </w:p>
    <w:sectPr w:rsidR="00D624FB" w:rsidRPr="00D62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C5B73"/>
    <w:multiLevelType w:val="hybridMultilevel"/>
    <w:tmpl w:val="10FC0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68D0"/>
    <w:multiLevelType w:val="hybridMultilevel"/>
    <w:tmpl w:val="AFA270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F4"/>
    <w:rsid w:val="000B5FB0"/>
    <w:rsid w:val="002C5B02"/>
    <w:rsid w:val="00654EF4"/>
    <w:rsid w:val="007B79E3"/>
    <w:rsid w:val="00A50BB5"/>
    <w:rsid w:val="00AE544F"/>
    <w:rsid w:val="00BE5BC5"/>
    <w:rsid w:val="00C11A40"/>
    <w:rsid w:val="00D624FB"/>
    <w:rsid w:val="00E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14E"/>
  <w15:chartTrackingRefBased/>
  <w15:docId w15:val="{953E13A8-9068-41D6-BCA1-5473898F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BE5B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0B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Garipova</dc:creator>
  <cp:keywords/>
  <dc:description/>
  <cp:lastModifiedBy>Dilyara Garipova</cp:lastModifiedBy>
  <cp:revision>2</cp:revision>
  <dcterms:created xsi:type="dcterms:W3CDTF">2020-01-14T17:42:00Z</dcterms:created>
  <dcterms:modified xsi:type="dcterms:W3CDTF">2020-01-14T17:42:00Z</dcterms:modified>
</cp:coreProperties>
</file>