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2" w:name="content"/>
    <w:bookmarkStart w:id="31" w:name="Xabd5266fd61e776aedb18ceadc4abf06018fcba"/>
    <w:p>
      <w:pPr>
        <w:pStyle w:val="Heading1"/>
      </w:pPr>
      <w:r>
        <w:t xml:space="preserve">Perkembangan Pesantren Nasional dan Penurunan Santri</w:t>
      </w:r>
    </w:p>
    <w:p>
      <w:pPr>
        <w:pStyle w:val="FirstParagraph"/>
      </w:pPr>
      <w:r>
        <w:t xml:space="preserve">Sejak diundangkannya</w:t>
      </w:r>
      <w:r>
        <w:t xml:space="preserve"> </w:t>
      </w:r>
      <w:r>
        <w:rPr>
          <w:b/>
          <w:bCs/>
        </w:rPr>
        <w:t xml:space="preserve">UU Pesantren No.18/2019</w:t>
      </w:r>
      <w:r>
        <w:t xml:space="preserve"> </w:t>
      </w:r>
      <w:r>
        <w:t xml:space="preserve">(yang secara formal mengakui eksistensi kurikulum</w:t>
      </w:r>
      <w:r>
        <w:t xml:space="preserve"> </w:t>
      </w:r>
      <w:r>
        <w:rPr>
          <w:i/>
          <w:iCs/>
        </w:rPr>
        <w:t xml:space="preserve">Kulliyatul Mu’allimin Al-Islamiyyah</w:t>
      </w:r>
      <w:r>
        <w:t xml:space="preserve"> </w:t>
      </w:r>
      <w:r>
        <w:t xml:space="preserve">– KMI)</w:t>
      </w:r>
      <w:hyperlink r:id="rId21">
        <w:r>
          <w:rPr>
            <w:rStyle w:val="Hyperlink"/>
          </w:rPr>
          <w:t xml:space="preserve">[1]</w:t>
        </w:r>
      </w:hyperlink>
      <w:r>
        <w:t xml:space="preserve">, jumlah lembaga pesantren di Indonesia terus bertambah pesat. Misalnya, data Kemenag terbaru mencatat</w:t>
      </w:r>
      <w:r>
        <w:t xml:space="preserve"> </w:t>
      </w:r>
      <w:r>
        <w:rPr>
          <w:b/>
          <w:bCs/>
        </w:rPr>
        <w:t xml:space="preserve">≈39.551 pondok pesantren</w:t>
      </w:r>
      <w:r>
        <w:t xml:space="preserve"> </w:t>
      </w:r>
      <w:r>
        <w:t xml:space="preserve">(sekitar 4,9 juta santri) pada Semester I–2023</w:t>
      </w:r>
      <w:hyperlink r:id="rId22">
        <w:r>
          <w:rPr>
            <w:rStyle w:val="Hyperlink"/>
          </w:rPr>
          <w:t xml:space="preserve">[2]</w:t>
        </w:r>
      </w:hyperlink>
      <w:r>
        <w:t xml:space="preserve">, naik tajam dari sekitar 30 ribuan pondok pesantren pada awal dekade ini. Secara keseluruhan Kemenag merilis sekitar</w:t>
      </w:r>
      <w:r>
        <w:t xml:space="preserve"> </w:t>
      </w:r>
      <w:r>
        <w:rPr>
          <w:i/>
          <w:iCs/>
        </w:rPr>
        <w:t xml:space="preserve">“36.600 pesantren”</w:t>
      </w:r>
      <w:r>
        <w:t xml:space="preserve"> </w:t>
      </w:r>
      <w:r>
        <w:t xml:space="preserve">dengan 3,4 juta santri aktif hingga akhir 2024</w:t>
      </w:r>
      <w:hyperlink r:id="rId23">
        <w:r>
          <w:rPr>
            <w:rStyle w:val="Hyperlink"/>
          </w:rPr>
          <w:t xml:space="preserve">[3]</w:t>
        </w:r>
      </w:hyperlink>
      <w:r>
        <w:t xml:space="preserve"> </w:t>
      </w:r>
      <w:r>
        <w:t xml:space="preserve">(angka ini bisa berbeda-beda tergantung sumber). Fakta ini menunjukkan bahwa pasca pengakuan resmi KMI, jumlah pesantren nasional mengalami lonjakan signifikan</w:t>
      </w:r>
      <w:hyperlink r:id="rId22">
        <w:r>
          <w:rPr>
            <w:rStyle w:val="Hyperlink"/>
          </w:rPr>
          <w:t xml:space="preserve">[2]</w:t>
        </w:r>
      </w:hyperlink>
      <w:hyperlink r:id="rId21">
        <w:r>
          <w:rPr>
            <w:rStyle w:val="Hyperlink"/>
          </w:rPr>
          <w:t xml:space="preserve">[1]</w:t>
        </w:r>
      </w:hyperlink>
      <w:r>
        <w:t xml:space="preserve">.</w:t>
      </w:r>
    </w:p>
    <w:p>
      <w:pPr>
        <w:pStyle w:val="BodyText"/>
      </w:pPr>
      <w:r>
        <w:t xml:space="preserve">Namun di sisi lain, beberapa daerah justru mencatat</w:t>
      </w:r>
      <w:r>
        <w:t xml:space="preserve"> </w:t>
      </w:r>
      <w:r>
        <w:rPr>
          <w:b/>
          <w:bCs/>
        </w:rPr>
        <w:t xml:space="preserve">penurunan jumlah santri</w:t>
      </w:r>
      <w:r>
        <w:t xml:space="preserve"> </w:t>
      </w:r>
      <w:r>
        <w:t xml:space="preserve">dalam beberapa tahun terakhir. Contohnya, Provinsi Aceh melaporkan penurunan santri dari</w:t>
      </w:r>
      <w:r>
        <w:t xml:space="preserve"> </w:t>
      </w:r>
      <w:r>
        <w:rPr>
          <w:b/>
          <w:bCs/>
        </w:rPr>
        <w:t xml:space="preserve">272.601</w:t>
      </w:r>
      <w:r>
        <w:t xml:space="preserve"> </w:t>
      </w:r>
      <w:r>
        <w:t xml:space="preserve">(TA 2020/21) menjadi</w:t>
      </w:r>
      <w:r>
        <w:t xml:space="preserve"> </w:t>
      </w:r>
      <w:r>
        <w:rPr>
          <w:b/>
          <w:bCs/>
        </w:rPr>
        <w:t xml:space="preserve">252.346</w:t>
      </w:r>
      <w:r>
        <w:t xml:space="preserve"> </w:t>
      </w:r>
      <w:r>
        <w:t xml:space="preserve">(TA 2021/22) hingga</w:t>
      </w:r>
      <w:r>
        <w:t xml:space="preserve"> </w:t>
      </w:r>
      <w:r>
        <w:rPr>
          <w:b/>
          <w:bCs/>
        </w:rPr>
        <w:t xml:space="preserve">247.203</w:t>
      </w:r>
      <w:r>
        <w:t xml:space="preserve"> </w:t>
      </w:r>
      <w:r>
        <w:t xml:space="preserve">(TA 2022/23)</w:t>
      </w:r>
      <w:hyperlink r:id="rId24">
        <w:r>
          <w:rPr>
            <w:rStyle w:val="Hyperlink"/>
          </w:rPr>
          <w:t xml:space="preserve">[4]</w:t>
        </w:r>
      </w:hyperlink>
      <w:hyperlink r:id="rId25">
        <w:r>
          <w:rPr>
            <w:rStyle w:val="Hyperlink"/>
          </w:rPr>
          <w:t xml:space="preserve">[5]</w:t>
        </w:r>
      </w:hyperlink>
      <w:r>
        <w:t xml:space="preserve">. Demikian pula di Nusa Tenggara Barat, santri tercatat turun dari</w:t>
      </w:r>
      <w:r>
        <w:t xml:space="preserve"> </w:t>
      </w:r>
      <w:r>
        <w:rPr>
          <w:b/>
          <w:bCs/>
        </w:rPr>
        <w:t xml:space="preserve">291.464</w:t>
      </w:r>
      <w:r>
        <w:t xml:space="preserve"> </w:t>
      </w:r>
      <w:r>
        <w:t xml:space="preserve">(2020/21) menjadi</w:t>
      </w:r>
      <w:r>
        <w:t xml:space="preserve"> </w:t>
      </w:r>
      <w:r>
        <w:rPr>
          <w:b/>
          <w:bCs/>
        </w:rPr>
        <w:t xml:space="preserve">263.883</w:t>
      </w:r>
      <w:r>
        <w:t xml:space="preserve"> </w:t>
      </w:r>
      <w:r>
        <w:t xml:space="preserve">(2021/22) lalu</w:t>
      </w:r>
      <w:r>
        <w:t xml:space="preserve"> </w:t>
      </w:r>
      <w:r>
        <w:rPr>
          <w:b/>
          <w:bCs/>
        </w:rPr>
        <w:t xml:space="preserve">229.285</w:t>
      </w:r>
      <w:r>
        <w:t xml:space="preserve"> </w:t>
      </w:r>
      <w:r>
        <w:t xml:space="preserve">(2022/23)</w:t>
      </w:r>
      <w:hyperlink r:id="rId26">
        <w:r>
          <w:rPr>
            <w:rStyle w:val="Hyperlink"/>
          </w:rPr>
          <w:t xml:space="preserve">[6]</w:t>
        </w:r>
      </w:hyperlink>
      <w:hyperlink r:id="rId27">
        <w:r>
          <w:rPr>
            <w:rStyle w:val="Hyperlink"/>
          </w:rPr>
          <w:t xml:space="preserve">[7]</w:t>
        </w:r>
      </w:hyperlink>
      <w:r>
        <w:t xml:space="preserve">. Penurunan juga tercatat di beberapa provinsi lain (misalnya Sulawesi Tenggara dan Sulawesi Utara). Data tersebut memperlihatkan tren kontrak dalam beberapa wilayah, meski secara nasional jumlah santri tetap besar</w:t>
      </w:r>
      <w:hyperlink r:id="rId24">
        <w:r>
          <w:rPr>
            <w:rStyle w:val="Hyperlink"/>
          </w:rPr>
          <w:t xml:space="preserve">[4]</w:t>
        </w:r>
      </w:hyperlink>
      <w:hyperlink r:id="rId27">
        <w:r>
          <w:rPr>
            <w:rStyle w:val="Hyperlink"/>
          </w:rPr>
          <w:t xml:space="preserve">[7]</w:t>
        </w:r>
      </w:hyperlink>
      <w:r>
        <w:t xml:space="preserve">.</w:t>
      </w:r>
    </w:p>
    <w:p>
      <w:pPr>
        <w:pStyle w:val="BodyText"/>
      </w:pPr>
      <w:r>
        <w:t xml:space="preserve">Berikut adalah ringkasan data resmi Kemenag (Direktorat Pendidikan Pesantren) per provinsi tentang jumlah pondok pesantren dan santri tahun ajaran 2020/2021 dan 2021/2022. Data ini menunjukkan perkembangan sebelum/pekan sesudah KMI diakui, dan dapat dibandingkan menurut tiap provinsi:</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Provinsi</w:t>
            </w:r>
          </w:p>
        </w:tc>
        <w:tc>
          <w:tcPr/>
          <w:p>
            <w:pPr>
              <w:pStyle w:val="Compact"/>
              <w:jc w:val="center"/>
            </w:pPr>
            <w:r>
              <w:t xml:space="preserve">Pondok Pesantren&lt;br&gt;2020/21</w:t>
            </w:r>
          </w:p>
        </w:tc>
        <w:tc>
          <w:tcPr/>
          <w:p>
            <w:pPr>
              <w:pStyle w:val="Compact"/>
              <w:jc w:val="center"/>
            </w:pPr>
            <w:r>
              <w:t xml:space="preserve">Pondok Pesantren&lt;br&gt;2021/22</w:t>
            </w:r>
          </w:p>
        </w:tc>
        <w:tc>
          <w:tcPr/>
          <w:p>
            <w:pPr>
              <w:pStyle w:val="Compact"/>
              <w:jc w:val="center"/>
            </w:pPr>
            <w:r>
              <w:t xml:space="preserve">Santri&lt;br&gt;2020/21</w:t>
            </w:r>
          </w:p>
        </w:tc>
        <w:tc>
          <w:tcPr/>
          <w:p>
            <w:pPr>
              <w:pStyle w:val="Compact"/>
              <w:jc w:val="center"/>
            </w:pPr>
            <w:r>
              <w:t xml:space="preserve">Santri&lt;br&gt;2021/22</w:t>
            </w:r>
          </w:p>
        </w:tc>
      </w:tr>
      <w:tr>
        <w:tc>
          <w:tcPr/>
          <w:p>
            <w:pPr>
              <w:pStyle w:val="Compact"/>
              <w:jc w:val="left"/>
            </w:pPr>
            <w:r>
              <w:t xml:space="preserve">Aceh</w:t>
            </w:r>
          </w:p>
        </w:tc>
        <w:tc>
          <w:tcPr/>
          <w:p>
            <w:pPr>
              <w:pStyle w:val="Compact"/>
              <w:jc w:val="center"/>
            </w:pPr>
            <w:r>
              <w:t xml:space="preserve">1.286</w:t>
            </w:r>
          </w:p>
        </w:tc>
        <w:tc>
          <w:tcPr/>
          <w:p>
            <w:pPr>
              <w:pStyle w:val="Compact"/>
              <w:jc w:val="center"/>
            </w:pPr>
            <w:r>
              <w:t xml:space="preserve">1.626</w:t>
            </w:r>
          </w:p>
        </w:tc>
        <w:tc>
          <w:tcPr/>
          <w:p>
            <w:pPr>
              <w:pStyle w:val="Compact"/>
              <w:jc w:val="center"/>
            </w:pPr>
            <w:r>
              <w:t xml:space="preserve">272.601</w:t>
            </w:r>
          </w:p>
        </w:tc>
        <w:tc>
          <w:tcPr/>
          <w:p>
            <w:pPr>
              <w:pStyle w:val="Compact"/>
              <w:jc w:val="center"/>
            </w:pPr>
            <w:r>
              <w:t xml:space="preserve">252.346</w:t>
            </w:r>
          </w:p>
        </w:tc>
      </w:tr>
      <w:tr>
        <w:tc>
          <w:tcPr/>
          <w:p>
            <w:pPr>
              <w:pStyle w:val="Compact"/>
              <w:jc w:val="left"/>
            </w:pPr>
            <w:r>
              <w:t xml:space="preserve">Bali</w:t>
            </w:r>
          </w:p>
        </w:tc>
        <w:tc>
          <w:tcPr/>
          <w:p>
            <w:pPr>
              <w:pStyle w:val="Compact"/>
              <w:jc w:val="center"/>
            </w:pPr>
            <w:r>
              <w:t xml:space="preserve">92</w:t>
            </w:r>
          </w:p>
        </w:tc>
        <w:tc>
          <w:tcPr/>
          <w:p>
            <w:pPr>
              <w:pStyle w:val="Compact"/>
              <w:jc w:val="center"/>
            </w:pPr>
            <w:r>
              <w:t xml:space="preserve">105</w:t>
            </w:r>
          </w:p>
        </w:tc>
        <w:tc>
          <w:tcPr/>
          <w:p>
            <w:pPr>
              <w:pStyle w:val="Compact"/>
              <w:jc w:val="center"/>
            </w:pPr>
            <w:r>
              <w:t xml:space="preserve">9.630</w:t>
            </w:r>
          </w:p>
        </w:tc>
        <w:tc>
          <w:tcPr/>
          <w:p>
            <w:pPr>
              <w:pStyle w:val="Compact"/>
              <w:jc w:val="center"/>
            </w:pPr>
            <w:r>
              <w:t xml:space="preserve">7.891</w:t>
            </w:r>
          </w:p>
        </w:tc>
      </w:tr>
      <w:tr>
        <w:tc>
          <w:tcPr/>
          <w:p>
            <w:pPr>
              <w:pStyle w:val="Compact"/>
              <w:jc w:val="left"/>
            </w:pPr>
            <w:r>
              <w:t xml:space="preserve">Banten</w:t>
            </w:r>
          </w:p>
        </w:tc>
        <w:tc>
          <w:tcPr/>
          <w:p>
            <w:pPr>
              <w:pStyle w:val="Compact"/>
              <w:jc w:val="center"/>
            </w:pPr>
            <w:r>
              <w:t xml:space="preserve">5.344</w:t>
            </w:r>
          </w:p>
        </w:tc>
        <w:tc>
          <w:tcPr/>
          <w:p>
            <w:pPr>
              <w:pStyle w:val="Compact"/>
              <w:jc w:val="center"/>
            </w:pPr>
            <w:r>
              <w:t xml:space="preserve">6.290</w:t>
            </w:r>
          </w:p>
        </w:tc>
        <w:tc>
          <w:tcPr/>
          <w:p>
            <w:pPr>
              <w:pStyle w:val="Compact"/>
              <w:jc w:val="center"/>
            </w:pPr>
            <w:r>
              <w:t xml:space="preserve">467.175</w:t>
            </w:r>
          </w:p>
        </w:tc>
        <w:tc>
          <w:tcPr/>
          <w:p>
            <w:pPr>
              <w:pStyle w:val="Compact"/>
              <w:jc w:val="center"/>
            </w:pPr>
            <w:r>
              <w:t xml:space="preserve">483.386</w:t>
            </w:r>
          </w:p>
        </w:tc>
      </w:tr>
      <w:tr>
        <w:tc>
          <w:tcPr/>
          <w:p>
            <w:pPr>
              <w:pStyle w:val="Compact"/>
              <w:jc w:val="left"/>
            </w:pPr>
            <w:r>
              <w:t xml:space="preserve">Bengkulu</w:t>
            </w:r>
          </w:p>
        </w:tc>
        <w:tc>
          <w:tcPr/>
          <w:p>
            <w:pPr>
              <w:pStyle w:val="Compact"/>
              <w:jc w:val="center"/>
            </w:pPr>
            <w:r>
              <w:t xml:space="preserve">54</w:t>
            </w:r>
          </w:p>
        </w:tc>
        <w:tc>
          <w:tcPr/>
          <w:p>
            <w:pPr>
              <w:pStyle w:val="Compact"/>
              <w:jc w:val="center"/>
            </w:pPr>
            <w:r>
              <w:t xml:space="preserve">84</w:t>
            </w:r>
          </w:p>
        </w:tc>
        <w:tc>
          <w:tcPr/>
          <w:p>
            <w:pPr>
              <w:pStyle w:val="Compact"/>
              <w:jc w:val="center"/>
            </w:pPr>
            <w:r>
              <w:t xml:space="preserve">9.489</w:t>
            </w:r>
          </w:p>
        </w:tc>
        <w:tc>
          <w:tcPr/>
          <w:p>
            <w:pPr>
              <w:pStyle w:val="Compact"/>
              <w:jc w:val="center"/>
            </w:pPr>
            <w:r>
              <w:t xml:space="preserve">11.810</w:t>
            </w:r>
          </w:p>
        </w:tc>
      </w:tr>
      <w:tr>
        <w:tc>
          <w:tcPr/>
          <w:p>
            <w:pPr>
              <w:pStyle w:val="Compact"/>
              <w:jc w:val="left"/>
            </w:pPr>
            <w:r>
              <w:t xml:space="preserve">DI Yogyakarta</w:t>
            </w:r>
          </w:p>
        </w:tc>
        <w:tc>
          <w:tcPr/>
          <w:p>
            <w:pPr>
              <w:pStyle w:val="Compact"/>
              <w:jc w:val="center"/>
            </w:pPr>
            <w:r>
              <w:t xml:space="preserve">337</w:t>
            </w:r>
          </w:p>
        </w:tc>
        <w:tc>
          <w:tcPr/>
          <w:p>
            <w:pPr>
              <w:pStyle w:val="Compact"/>
              <w:jc w:val="center"/>
            </w:pPr>
            <w:r>
              <w:t xml:space="preserve">392</w:t>
            </w:r>
          </w:p>
        </w:tc>
        <w:tc>
          <w:tcPr/>
          <w:p>
            <w:pPr>
              <w:pStyle w:val="Compact"/>
              <w:jc w:val="center"/>
            </w:pPr>
            <w:r>
              <w:t xml:space="preserve">54.326</w:t>
            </w:r>
          </w:p>
        </w:tc>
        <w:tc>
          <w:tcPr/>
          <w:p>
            <w:pPr>
              <w:pStyle w:val="Compact"/>
              <w:jc w:val="center"/>
            </w:pPr>
            <w:r>
              <w:t xml:space="preserve">53.421</w:t>
            </w:r>
          </w:p>
        </w:tc>
      </w:tr>
      <w:tr>
        <w:tc>
          <w:tcPr/>
          <w:p>
            <w:pPr>
              <w:pStyle w:val="Compact"/>
              <w:jc w:val="left"/>
            </w:pPr>
            <w:r>
              <w:t xml:space="preserve">DKI Jakarta</w:t>
            </w:r>
          </w:p>
        </w:tc>
        <w:tc>
          <w:tcPr/>
          <w:p>
            <w:pPr>
              <w:pStyle w:val="Compact"/>
              <w:jc w:val="center"/>
            </w:pPr>
            <w:r>
              <w:t xml:space="preserve">113</w:t>
            </w:r>
          </w:p>
        </w:tc>
        <w:tc>
          <w:tcPr/>
          <w:p>
            <w:pPr>
              <w:pStyle w:val="Compact"/>
              <w:jc w:val="center"/>
            </w:pPr>
            <w:r>
              <w:t xml:space="preserve">135</w:t>
            </w:r>
          </w:p>
        </w:tc>
        <w:tc>
          <w:tcPr/>
          <w:p>
            <w:pPr>
              <w:pStyle w:val="Compact"/>
              <w:jc w:val="center"/>
            </w:pPr>
            <w:r>
              <w:t xml:space="preserve">22.508</w:t>
            </w:r>
          </w:p>
        </w:tc>
        <w:tc>
          <w:tcPr/>
          <w:p>
            <w:pPr>
              <w:pStyle w:val="Compact"/>
              <w:jc w:val="center"/>
            </w:pPr>
            <w:r>
              <w:t xml:space="preserve">31.164</w:t>
            </w:r>
          </w:p>
        </w:tc>
      </w:tr>
      <w:tr>
        <w:tc>
          <w:tcPr/>
          <w:p>
            <w:pPr>
              <w:pStyle w:val="Compact"/>
              <w:jc w:val="left"/>
            </w:pPr>
            <w:r>
              <w:t xml:space="preserve">Gorontalo</w:t>
            </w:r>
          </w:p>
        </w:tc>
        <w:tc>
          <w:tcPr/>
          <w:p>
            <w:pPr>
              <w:pStyle w:val="Compact"/>
              <w:jc w:val="center"/>
            </w:pPr>
            <w:r>
              <w:t xml:space="preserve">31</w:t>
            </w:r>
          </w:p>
        </w:tc>
        <w:tc>
          <w:tcPr/>
          <w:p>
            <w:pPr>
              <w:pStyle w:val="Compact"/>
              <w:jc w:val="center"/>
            </w:pPr>
            <w:r>
              <w:t xml:space="preserve">38</w:t>
            </w:r>
          </w:p>
        </w:tc>
        <w:tc>
          <w:tcPr/>
          <w:p>
            <w:pPr>
              <w:pStyle w:val="Compact"/>
              <w:jc w:val="center"/>
            </w:pPr>
            <w:r>
              <w:t xml:space="preserve">7.262</w:t>
            </w:r>
          </w:p>
        </w:tc>
        <w:tc>
          <w:tcPr/>
          <w:p>
            <w:pPr>
              <w:pStyle w:val="Compact"/>
              <w:jc w:val="center"/>
            </w:pPr>
            <w:r>
              <w:t xml:space="preserve">7.250</w:t>
            </w:r>
          </w:p>
        </w:tc>
      </w:tr>
      <w:tr>
        <w:tc>
          <w:tcPr/>
          <w:p>
            <w:pPr>
              <w:pStyle w:val="Compact"/>
              <w:jc w:val="left"/>
            </w:pPr>
            <w:r>
              <w:t xml:space="preserve">Jambi</w:t>
            </w:r>
          </w:p>
        </w:tc>
        <w:tc>
          <w:tcPr/>
          <w:p>
            <w:pPr>
              <w:pStyle w:val="Compact"/>
              <w:jc w:val="center"/>
            </w:pPr>
            <w:r>
              <w:t xml:space="preserve">290</w:t>
            </w:r>
          </w:p>
        </w:tc>
        <w:tc>
          <w:tcPr/>
          <w:p>
            <w:pPr>
              <w:pStyle w:val="Compact"/>
              <w:jc w:val="center"/>
            </w:pPr>
            <w:r>
              <w:t xml:space="preserve">366</w:t>
            </w:r>
          </w:p>
        </w:tc>
        <w:tc>
          <w:tcPr/>
          <w:p>
            <w:pPr>
              <w:pStyle w:val="Compact"/>
              <w:jc w:val="center"/>
            </w:pPr>
            <w:r>
              <w:t xml:space="preserve">53.295</w:t>
            </w:r>
          </w:p>
        </w:tc>
        <w:tc>
          <w:tcPr/>
          <w:p>
            <w:pPr>
              <w:pStyle w:val="Compact"/>
              <w:jc w:val="center"/>
            </w:pPr>
            <w:r>
              <w:t xml:space="preserve">61.644</w:t>
            </w:r>
          </w:p>
        </w:tc>
      </w:tr>
      <w:tr>
        <w:tc>
          <w:tcPr/>
          <w:p>
            <w:pPr>
              <w:pStyle w:val="Compact"/>
              <w:jc w:val="left"/>
            </w:pPr>
            <w:r>
              <w:t xml:space="preserve">Jawa Barat</w:t>
            </w:r>
          </w:p>
        </w:tc>
        <w:tc>
          <w:tcPr/>
          <w:p>
            <w:pPr>
              <w:pStyle w:val="Compact"/>
              <w:jc w:val="center"/>
            </w:pPr>
            <w:r>
              <w:t xml:space="preserve">9.310</w:t>
            </w:r>
          </w:p>
        </w:tc>
        <w:tc>
          <w:tcPr/>
          <w:p>
            <w:pPr>
              <w:pStyle w:val="Compact"/>
              <w:jc w:val="center"/>
            </w:pPr>
            <w:r>
              <w:t xml:space="preserve">11.697</w:t>
            </w:r>
          </w:p>
        </w:tc>
        <w:tc>
          <w:tcPr/>
          <w:p>
            <w:pPr>
              <w:pStyle w:val="Compact"/>
              <w:jc w:val="center"/>
            </w:pPr>
            <w:r>
              <w:t xml:space="preserve">901.222</w:t>
            </w:r>
          </w:p>
        </w:tc>
        <w:tc>
          <w:tcPr/>
          <w:p>
            <w:pPr>
              <w:pStyle w:val="Compact"/>
              <w:jc w:val="center"/>
            </w:pPr>
            <w:r>
              <w:t xml:space="preserve">964.749</w:t>
            </w:r>
          </w:p>
        </w:tc>
      </w:tr>
      <w:tr>
        <w:tc>
          <w:tcPr/>
          <w:p>
            <w:pPr>
              <w:pStyle w:val="Compact"/>
              <w:jc w:val="left"/>
            </w:pPr>
            <w:r>
              <w:t xml:space="preserve">Jawa Tengah</w:t>
            </w:r>
          </w:p>
        </w:tc>
        <w:tc>
          <w:tcPr/>
          <w:p>
            <w:pPr>
              <w:pStyle w:val="Compact"/>
              <w:jc w:val="center"/>
            </w:pPr>
            <w:r>
              <w:t xml:space="preserve">3.927</w:t>
            </w:r>
          </w:p>
        </w:tc>
        <w:tc>
          <w:tcPr/>
          <w:p>
            <w:pPr>
              <w:pStyle w:val="Compact"/>
              <w:jc w:val="center"/>
            </w:pPr>
            <w:r>
              <w:t xml:space="preserve">4.842</w:t>
            </w:r>
          </w:p>
        </w:tc>
        <w:tc>
          <w:tcPr/>
          <w:p>
            <w:pPr>
              <w:pStyle w:val="Compact"/>
              <w:jc w:val="center"/>
            </w:pPr>
            <w:r>
              <w:t xml:space="preserve">558.620</w:t>
            </w:r>
          </w:p>
        </w:tc>
        <w:tc>
          <w:tcPr/>
          <w:p>
            <w:pPr>
              <w:pStyle w:val="Compact"/>
              <w:jc w:val="center"/>
            </w:pPr>
            <w:r>
              <w:t xml:space="preserve">554.006</w:t>
            </w:r>
          </w:p>
        </w:tc>
      </w:tr>
      <w:tr>
        <w:tc>
          <w:tcPr/>
          <w:p>
            <w:pPr>
              <w:pStyle w:val="Compact"/>
              <w:jc w:val="left"/>
            </w:pPr>
            <w:r>
              <w:t xml:space="preserve">Jawa Timur</w:t>
            </w:r>
          </w:p>
        </w:tc>
        <w:tc>
          <w:tcPr/>
          <w:p>
            <w:pPr>
              <w:pStyle w:val="Compact"/>
              <w:jc w:val="center"/>
            </w:pPr>
            <w:r>
              <w:t xml:space="preserve">5.121</w:t>
            </w:r>
          </w:p>
        </w:tc>
        <w:tc>
          <w:tcPr/>
          <w:p>
            <w:pPr>
              <w:pStyle w:val="Compact"/>
              <w:jc w:val="center"/>
            </w:pPr>
            <w:r>
              <w:t xml:space="preserve">6.438</w:t>
            </w:r>
          </w:p>
        </w:tc>
        <w:tc>
          <w:tcPr/>
          <w:p>
            <w:pPr>
              <w:pStyle w:val="Compact"/>
              <w:jc w:val="center"/>
            </w:pPr>
            <w:r>
              <w:t xml:space="preserve">970.541</w:t>
            </w:r>
          </w:p>
        </w:tc>
        <w:tc>
          <w:tcPr/>
          <w:p>
            <w:pPr>
              <w:pStyle w:val="Compact"/>
              <w:jc w:val="center"/>
            </w:pPr>
            <w:r>
              <w:t xml:space="preserve">995.300</w:t>
            </w:r>
          </w:p>
        </w:tc>
      </w:tr>
      <w:tr>
        <w:tc>
          <w:tcPr/>
          <w:p>
            <w:pPr>
              <w:pStyle w:val="Compact"/>
              <w:jc w:val="left"/>
            </w:pPr>
            <w:r>
              <w:t xml:space="preserve">Kalimantan Barat</w:t>
            </w:r>
          </w:p>
        </w:tc>
        <w:tc>
          <w:tcPr/>
          <w:p>
            <w:pPr>
              <w:pStyle w:val="Compact"/>
              <w:jc w:val="center"/>
            </w:pPr>
            <w:r>
              <w:t xml:space="preserve">265</w:t>
            </w:r>
          </w:p>
        </w:tc>
        <w:tc>
          <w:tcPr/>
          <w:p>
            <w:pPr>
              <w:pStyle w:val="Compact"/>
              <w:jc w:val="center"/>
            </w:pPr>
            <w:r>
              <w:t xml:space="preserve">307</w:t>
            </w:r>
          </w:p>
        </w:tc>
        <w:tc>
          <w:tcPr/>
          <w:p>
            <w:pPr>
              <w:pStyle w:val="Compact"/>
              <w:jc w:val="center"/>
            </w:pPr>
            <w:r>
              <w:t xml:space="preserve">54.681</w:t>
            </w:r>
          </w:p>
        </w:tc>
        <w:tc>
          <w:tcPr/>
          <w:p>
            <w:pPr>
              <w:pStyle w:val="Compact"/>
              <w:jc w:val="center"/>
            </w:pPr>
            <w:r>
              <w:t xml:space="preserve">43.799</w:t>
            </w:r>
          </w:p>
        </w:tc>
      </w:tr>
      <w:tr>
        <w:tc>
          <w:tcPr/>
          <w:p>
            <w:pPr>
              <w:pStyle w:val="Compact"/>
              <w:jc w:val="left"/>
            </w:pPr>
            <w:r>
              <w:t xml:space="preserve">Kalimantan Selatan</w:t>
            </w:r>
          </w:p>
        </w:tc>
        <w:tc>
          <w:tcPr/>
          <w:p>
            <w:pPr>
              <w:pStyle w:val="Compact"/>
              <w:jc w:val="center"/>
            </w:pPr>
            <w:r>
              <w:t xml:space="preserve">264</w:t>
            </w:r>
          </w:p>
        </w:tc>
        <w:tc>
          <w:tcPr/>
          <w:p>
            <w:pPr>
              <w:pStyle w:val="Compact"/>
              <w:jc w:val="center"/>
            </w:pPr>
            <w:r>
              <w:t xml:space="preserve">289</w:t>
            </w:r>
          </w:p>
        </w:tc>
        <w:tc>
          <w:tcPr/>
          <w:p>
            <w:pPr>
              <w:pStyle w:val="Compact"/>
              <w:jc w:val="center"/>
            </w:pPr>
            <w:r>
              <w:t xml:space="preserve">93.198</w:t>
            </w:r>
          </w:p>
        </w:tc>
        <w:tc>
          <w:tcPr/>
          <w:p>
            <w:pPr>
              <w:pStyle w:val="Compact"/>
              <w:jc w:val="center"/>
            </w:pPr>
            <w:r>
              <w:t xml:space="preserve">86.792</w:t>
            </w:r>
          </w:p>
        </w:tc>
      </w:tr>
      <w:tr>
        <w:tc>
          <w:tcPr/>
          <w:p>
            <w:pPr>
              <w:pStyle w:val="Compact"/>
              <w:jc w:val="left"/>
            </w:pPr>
            <w:r>
              <w:t xml:space="preserve">Kalimantan Tengah</w:t>
            </w:r>
          </w:p>
        </w:tc>
        <w:tc>
          <w:tcPr/>
          <w:p>
            <w:pPr>
              <w:pStyle w:val="Compact"/>
              <w:jc w:val="center"/>
            </w:pPr>
            <w:r>
              <w:t xml:space="preserve">91</w:t>
            </w:r>
          </w:p>
        </w:tc>
        <w:tc>
          <w:tcPr/>
          <w:p>
            <w:pPr>
              <w:pStyle w:val="Compact"/>
              <w:jc w:val="center"/>
            </w:pPr>
            <w:r>
              <w:t xml:space="preserve">109</w:t>
            </w:r>
          </w:p>
        </w:tc>
        <w:tc>
          <w:tcPr/>
          <w:p>
            <w:pPr>
              <w:pStyle w:val="Compact"/>
              <w:jc w:val="center"/>
            </w:pPr>
            <w:r>
              <w:t xml:space="preserve">16.180</w:t>
            </w:r>
          </w:p>
        </w:tc>
        <w:tc>
          <w:tcPr/>
          <w:p>
            <w:pPr>
              <w:pStyle w:val="Compact"/>
              <w:jc w:val="center"/>
            </w:pPr>
            <w:r>
              <w:t xml:space="preserve">14.233</w:t>
            </w:r>
          </w:p>
        </w:tc>
      </w:tr>
      <w:tr>
        <w:tc>
          <w:tcPr/>
          <w:p>
            <w:pPr>
              <w:pStyle w:val="Compact"/>
              <w:jc w:val="left"/>
            </w:pPr>
            <w:r>
              <w:t xml:space="preserve">Kalimantan Timur</w:t>
            </w:r>
          </w:p>
        </w:tc>
        <w:tc>
          <w:tcPr/>
          <w:p>
            <w:pPr>
              <w:pStyle w:val="Compact"/>
              <w:jc w:val="center"/>
            </w:pPr>
            <w:r>
              <w:t xml:space="preserve">176</w:t>
            </w:r>
          </w:p>
        </w:tc>
        <w:tc>
          <w:tcPr/>
          <w:p>
            <w:pPr>
              <w:pStyle w:val="Compact"/>
              <w:jc w:val="center"/>
            </w:pPr>
            <w:r>
              <w:t xml:space="preserve">214</w:t>
            </w:r>
          </w:p>
        </w:tc>
        <w:tc>
          <w:tcPr/>
          <w:p>
            <w:pPr>
              <w:pStyle w:val="Compact"/>
              <w:jc w:val="center"/>
            </w:pPr>
            <w:r>
              <w:t xml:space="preserve">37.432</w:t>
            </w:r>
          </w:p>
        </w:tc>
        <w:tc>
          <w:tcPr/>
          <w:p>
            <w:pPr>
              <w:pStyle w:val="Compact"/>
              <w:jc w:val="center"/>
            </w:pPr>
            <w:r>
              <w:t xml:space="preserve">39.963</w:t>
            </w:r>
          </w:p>
        </w:tc>
      </w:tr>
      <w:tr>
        <w:tc>
          <w:tcPr/>
          <w:p>
            <w:pPr>
              <w:pStyle w:val="Compact"/>
              <w:jc w:val="left"/>
            </w:pPr>
            <w:r>
              <w:t xml:space="preserve">Kalimantan Utara</w:t>
            </w:r>
          </w:p>
        </w:tc>
        <w:tc>
          <w:tcPr/>
          <w:p>
            <w:pPr>
              <w:pStyle w:val="Compact"/>
              <w:jc w:val="center"/>
            </w:pPr>
            <w:r>
              <w:t xml:space="preserve">23</w:t>
            </w:r>
          </w:p>
        </w:tc>
        <w:tc>
          <w:tcPr/>
          <w:p>
            <w:pPr>
              <w:pStyle w:val="Compact"/>
              <w:jc w:val="center"/>
            </w:pPr>
            <w:r>
              <w:t xml:space="preserve">34</w:t>
            </w:r>
          </w:p>
        </w:tc>
        <w:tc>
          <w:tcPr/>
          <w:p>
            <w:pPr>
              <w:pStyle w:val="Compact"/>
              <w:jc w:val="center"/>
            </w:pPr>
            <w:r>
              <w:t xml:space="preserve">3.406</w:t>
            </w:r>
          </w:p>
        </w:tc>
        <w:tc>
          <w:tcPr/>
          <w:p>
            <w:pPr>
              <w:pStyle w:val="Compact"/>
              <w:jc w:val="center"/>
            </w:pPr>
            <w:r>
              <w:t xml:space="preserve">3.852</w:t>
            </w:r>
          </w:p>
        </w:tc>
      </w:tr>
      <w:tr>
        <w:tc>
          <w:tcPr/>
          <w:p>
            <w:pPr>
              <w:pStyle w:val="Compact"/>
              <w:jc w:val="left"/>
            </w:pPr>
            <w:r>
              <w:t xml:space="preserve">Kepulauan Bangka Belitung</w:t>
            </w:r>
          </w:p>
        </w:tc>
        <w:tc>
          <w:tcPr/>
          <w:p>
            <w:pPr>
              <w:pStyle w:val="Compact"/>
              <w:jc w:val="center"/>
            </w:pPr>
            <w:r>
              <w:t xml:space="preserve">57</w:t>
            </w:r>
          </w:p>
        </w:tc>
        <w:tc>
          <w:tcPr/>
          <w:p>
            <w:pPr>
              <w:pStyle w:val="Compact"/>
              <w:jc w:val="center"/>
            </w:pPr>
            <w:r>
              <w:t xml:space="preserve">79</w:t>
            </w:r>
          </w:p>
        </w:tc>
        <w:tc>
          <w:tcPr/>
          <w:p>
            <w:pPr>
              <w:pStyle w:val="Compact"/>
              <w:jc w:val="center"/>
            </w:pPr>
            <w:r>
              <w:t xml:space="preserve">9.280</w:t>
            </w:r>
          </w:p>
        </w:tc>
        <w:tc>
          <w:tcPr/>
          <w:p>
            <w:pPr>
              <w:pStyle w:val="Compact"/>
              <w:jc w:val="center"/>
            </w:pPr>
            <w:r>
              <w:t xml:space="preserve">9.203</w:t>
            </w:r>
          </w:p>
        </w:tc>
      </w:tr>
      <w:tr>
        <w:tc>
          <w:tcPr/>
          <w:p>
            <w:pPr>
              <w:pStyle w:val="Compact"/>
              <w:jc w:val="left"/>
            </w:pPr>
            <w:r>
              <w:t xml:space="preserve">Kepulauan Riau</w:t>
            </w:r>
          </w:p>
        </w:tc>
        <w:tc>
          <w:tcPr/>
          <w:p>
            <w:pPr>
              <w:pStyle w:val="Compact"/>
              <w:jc w:val="center"/>
            </w:pPr>
            <w:r>
              <w:t xml:space="preserve">98</w:t>
            </w:r>
          </w:p>
        </w:tc>
        <w:tc>
          <w:tcPr/>
          <w:p>
            <w:pPr>
              <w:pStyle w:val="Compact"/>
              <w:jc w:val="center"/>
            </w:pPr>
            <w:r>
              <w:t xml:space="preserve">114</w:t>
            </w:r>
          </w:p>
        </w:tc>
        <w:tc>
          <w:tcPr/>
          <w:p>
            <w:pPr>
              <w:pStyle w:val="Compact"/>
              <w:jc w:val="center"/>
            </w:pPr>
            <w:r>
              <w:t xml:space="preserve">15.020</w:t>
            </w:r>
          </w:p>
        </w:tc>
        <w:tc>
          <w:tcPr/>
          <w:p>
            <w:pPr>
              <w:pStyle w:val="Compact"/>
              <w:jc w:val="center"/>
            </w:pPr>
            <w:r>
              <w:t xml:space="preserve">13.116</w:t>
            </w:r>
          </w:p>
        </w:tc>
      </w:tr>
      <w:tr>
        <w:tc>
          <w:tcPr/>
          <w:p>
            <w:pPr>
              <w:pStyle w:val="Compact"/>
              <w:jc w:val="left"/>
            </w:pPr>
            <w:r>
              <w:t xml:space="preserve">Lampung</w:t>
            </w:r>
          </w:p>
        </w:tc>
        <w:tc>
          <w:tcPr/>
          <w:p>
            <w:pPr>
              <w:pStyle w:val="Compact"/>
              <w:jc w:val="center"/>
            </w:pPr>
            <w:r>
              <w:t xml:space="preserve">904</w:t>
            </w:r>
          </w:p>
        </w:tc>
        <w:tc>
          <w:tcPr/>
          <w:p>
            <w:pPr>
              <w:pStyle w:val="Compact"/>
              <w:jc w:val="center"/>
            </w:pPr>
            <w:r>
              <w:t xml:space="preserve">1.147</w:t>
            </w:r>
          </w:p>
        </w:tc>
        <w:tc>
          <w:tcPr/>
          <w:p>
            <w:pPr>
              <w:pStyle w:val="Compact"/>
              <w:jc w:val="center"/>
            </w:pPr>
            <w:r>
              <w:t xml:space="preserve">96.583</w:t>
            </w:r>
          </w:p>
        </w:tc>
        <w:tc>
          <w:tcPr/>
          <w:p>
            <w:pPr>
              <w:pStyle w:val="Compact"/>
              <w:jc w:val="center"/>
            </w:pPr>
            <w:r>
              <w:t xml:space="preserve">116.653</w:t>
            </w:r>
          </w:p>
        </w:tc>
      </w:tr>
      <w:tr>
        <w:tc>
          <w:tcPr/>
          <w:p>
            <w:pPr>
              <w:pStyle w:val="Compact"/>
              <w:jc w:val="left"/>
            </w:pPr>
            <w:r>
              <w:t xml:space="preserve">Maluku</w:t>
            </w:r>
          </w:p>
        </w:tc>
        <w:tc>
          <w:tcPr/>
          <w:p>
            <w:pPr>
              <w:pStyle w:val="Compact"/>
              <w:jc w:val="center"/>
            </w:pPr>
            <w:r>
              <w:t xml:space="preserve">24</w:t>
            </w:r>
          </w:p>
        </w:tc>
        <w:tc>
          <w:tcPr/>
          <w:p>
            <w:pPr>
              <w:pStyle w:val="Compact"/>
              <w:jc w:val="center"/>
            </w:pPr>
            <w:r>
              <w:t xml:space="preserve">28</w:t>
            </w:r>
          </w:p>
        </w:tc>
        <w:tc>
          <w:tcPr/>
          <w:p>
            <w:pPr>
              <w:pStyle w:val="Compact"/>
              <w:jc w:val="center"/>
            </w:pPr>
            <w:r>
              <w:t xml:space="preserve">1.200</w:t>
            </w:r>
          </w:p>
        </w:tc>
        <w:tc>
          <w:tcPr/>
          <w:p>
            <w:pPr>
              <w:pStyle w:val="Compact"/>
              <w:jc w:val="center"/>
            </w:pPr>
            <w:r>
              <w:t xml:space="preserve">2.066</w:t>
            </w:r>
          </w:p>
        </w:tc>
      </w:tr>
      <w:tr>
        <w:tc>
          <w:tcPr/>
          <w:p>
            <w:pPr>
              <w:pStyle w:val="Compact"/>
              <w:jc w:val="left"/>
            </w:pPr>
            <w:r>
              <w:t xml:space="preserve">Maluku Utara</w:t>
            </w:r>
          </w:p>
        </w:tc>
        <w:tc>
          <w:tcPr/>
          <w:p>
            <w:pPr>
              <w:pStyle w:val="Compact"/>
              <w:jc w:val="center"/>
            </w:pPr>
            <w:r>
              <w:t xml:space="preserve">28</w:t>
            </w:r>
          </w:p>
        </w:tc>
        <w:tc>
          <w:tcPr/>
          <w:p>
            <w:pPr>
              <w:pStyle w:val="Compact"/>
              <w:jc w:val="center"/>
            </w:pPr>
            <w:r>
              <w:t xml:space="preserve">35</w:t>
            </w:r>
          </w:p>
        </w:tc>
        <w:tc>
          <w:tcPr/>
          <w:p>
            <w:pPr>
              <w:pStyle w:val="Compact"/>
              <w:jc w:val="center"/>
            </w:pPr>
            <w:r>
              <w:t xml:space="preserve">5.808</w:t>
            </w:r>
          </w:p>
        </w:tc>
        <w:tc>
          <w:tcPr/>
          <w:p>
            <w:pPr>
              <w:pStyle w:val="Compact"/>
              <w:jc w:val="center"/>
            </w:pPr>
            <w:r>
              <w:t xml:space="preserve">5.536</w:t>
            </w:r>
          </w:p>
        </w:tc>
      </w:tr>
      <w:tr>
        <w:tc>
          <w:tcPr/>
          <w:p>
            <w:pPr>
              <w:pStyle w:val="Compact"/>
              <w:jc w:val="left"/>
            </w:pPr>
            <w:r>
              <w:t xml:space="preserve">Nusa Tenggara Barat</w:t>
            </w:r>
          </w:p>
        </w:tc>
        <w:tc>
          <w:tcPr/>
          <w:p>
            <w:pPr>
              <w:pStyle w:val="Compact"/>
              <w:jc w:val="center"/>
            </w:pPr>
            <w:r>
              <w:t xml:space="preserve">730</w:t>
            </w:r>
          </w:p>
        </w:tc>
        <w:tc>
          <w:tcPr/>
          <w:p>
            <w:pPr>
              <w:pStyle w:val="Compact"/>
              <w:jc w:val="center"/>
            </w:pPr>
            <w:r>
              <w:t xml:space="preserve">863</w:t>
            </w:r>
          </w:p>
        </w:tc>
        <w:tc>
          <w:tcPr/>
          <w:p>
            <w:pPr>
              <w:pStyle w:val="Compact"/>
              <w:jc w:val="center"/>
            </w:pPr>
            <w:r>
              <w:t xml:space="preserve">291.464</w:t>
            </w:r>
          </w:p>
        </w:tc>
        <w:tc>
          <w:tcPr/>
          <w:p>
            <w:pPr>
              <w:pStyle w:val="Compact"/>
              <w:jc w:val="center"/>
            </w:pPr>
            <w:r>
              <w:t xml:space="preserve">263.883</w:t>
            </w:r>
          </w:p>
        </w:tc>
      </w:tr>
      <w:tr>
        <w:tc>
          <w:tcPr/>
          <w:p>
            <w:pPr>
              <w:pStyle w:val="Compact"/>
              <w:jc w:val="left"/>
            </w:pPr>
            <w:r>
              <w:t xml:space="preserve">Nusa Tenggara Timur</w:t>
            </w:r>
          </w:p>
        </w:tc>
        <w:tc>
          <w:tcPr/>
          <w:p>
            <w:pPr>
              <w:pStyle w:val="Compact"/>
              <w:jc w:val="center"/>
            </w:pPr>
            <w:r>
              <w:t xml:space="preserve">35</w:t>
            </w:r>
          </w:p>
        </w:tc>
        <w:tc>
          <w:tcPr/>
          <w:p>
            <w:pPr>
              <w:pStyle w:val="Compact"/>
              <w:jc w:val="center"/>
            </w:pPr>
            <w:r>
              <w:t xml:space="preserve">41</w:t>
            </w:r>
          </w:p>
        </w:tc>
        <w:tc>
          <w:tcPr/>
          <w:p>
            <w:pPr>
              <w:pStyle w:val="Compact"/>
              <w:jc w:val="center"/>
            </w:pPr>
            <w:r>
              <w:t xml:space="preserve">4.011</w:t>
            </w:r>
          </w:p>
        </w:tc>
        <w:tc>
          <w:tcPr/>
          <w:p>
            <w:pPr>
              <w:pStyle w:val="Compact"/>
              <w:jc w:val="center"/>
            </w:pPr>
            <w:r>
              <w:t xml:space="preserve">2.835</w:t>
            </w:r>
          </w:p>
        </w:tc>
      </w:tr>
      <w:tr>
        <w:tc>
          <w:tcPr/>
          <w:p>
            <w:pPr>
              <w:pStyle w:val="Compact"/>
              <w:jc w:val="left"/>
            </w:pPr>
            <w:r>
              <w:t xml:space="preserve">Papua</w:t>
            </w:r>
          </w:p>
        </w:tc>
        <w:tc>
          <w:tcPr/>
          <w:p>
            <w:pPr>
              <w:pStyle w:val="Compact"/>
              <w:jc w:val="center"/>
            </w:pPr>
            <w:r>
              <w:t xml:space="preserve">37</w:t>
            </w:r>
          </w:p>
        </w:tc>
        <w:tc>
          <w:tcPr/>
          <w:p>
            <w:pPr>
              <w:pStyle w:val="Compact"/>
              <w:jc w:val="center"/>
            </w:pPr>
            <w:r>
              <w:t xml:space="preserve">47</w:t>
            </w:r>
          </w:p>
        </w:tc>
        <w:tc>
          <w:tcPr/>
          <w:p>
            <w:pPr>
              <w:pStyle w:val="Compact"/>
              <w:jc w:val="center"/>
            </w:pPr>
            <w:r>
              <w:t xml:space="preserve">5.216</w:t>
            </w:r>
          </w:p>
        </w:tc>
        <w:tc>
          <w:tcPr/>
          <w:p>
            <w:pPr>
              <w:pStyle w:val="Compact"/>
              <w:jc w:val="center"/>
            </w:pPr>
            <w:r>
              <w:t xml:space="preserve">5.539</w:t>
            </w:r>
          </w:p>
        </w:tc>
      </w:tr>
      <w:tr>
        <w:tc>
          <w:tcPr/>
          <w:p>
            <w:pPr>
              <w:pStyle w:val="Compact"/>
              <w:jc w:val="left"/>
            </w:pPr>
            <w:r>
              <w:t xml:space="preserve">Papua Barat</w:t>
            </w:r>
          </w:p>
        </w:tc>
        <w:tc>
          <w:tcPr/>
          <w:p>
            <w:pPr>
              <w:pStyle w:val="Compact"/>
              <w:jc w:val="center"/>
            </w:pPr>
            <w:r>
              <w:t xml:space="preserve">18</w:t>
            </w:r>
          </w:p>
        </w:tc>
        <w:tc>
          <w:tcPr/>
          <w:p>
            <w:pPr>
              <w:pStyle w:val="Compact"/>
              <w:jc w:val="center"/>
            </w:pPr>
            <w:r>
              <w:t xml:space="preserve">20</w:t>
            </w:r>
          </w:p>
        </w:tc>
        <w:tc>
          <w:tcPr/>
          <w:p>
            <w:pPr>
              <w:pStyle w:val="Compact"/>
              <w:jc w:val="center"/>
            </w:pPr>
            <w:r>
              <w:t xml:space="preserve">1.564</w:t>
            </w:r>
          </w:p>
        </w:tc>
        <w:tc>
          <w:tcPr/>
          <w:p>
            <w:pPr>
              <w:pStyle w:val="Compact"/>
              <w:jc w:val="center"/>
            </w:pPr>
            <w:r>
              <w:t xml:space="preserve">1.791</w:t>
            </w:r>
          </w:p>
        </w:tc>
      </w:tr>
      <w:tr>
        <w:tc>
          <w:tcPr/>
          <w:p>
            <w:pPr>
              <w:pStyle w:val="Compact"/>
              <w:jc w:val="left"/>
            </w:pPr>
            <w:r>
              <w:t xml:space="preserve">Riau</w:t>
            </w:r>
          </w:p>
        </w:tc>
        <w:tc>
          <w:tcPr/>
          <w:p>
            <w:pPr>
              <w:pStyle w:val="Compact"/>
              <w:jc w:val="center"/>
            </w:pPr>
            <w:r>
              <w:t xml:space="preserve">301</w:t>
            </w:r>
          </w:p>
        </w:tc>
        <w:tc>
          <w:tcPr/>
          <w:p>
            <w:pPr>
              <w:pStyle w:val="Compact"/>
              <w:jc w:val="center"/>
            </w:pPr>
            <w:r>
              <w:t xml:space="preserve">403</w:t>
            </w:r>
          </w:p>
        </w:tc>
        <w:tc>
          <w:tcPr/>
          <w:p>
            <w:pPr>
              <w:pStyle w:val="Compact"/>
              <w:jc w:val="center"/>
            </w:pPr>
            <w:r>
              <w:t xml:space="preserve">53.060</w:t>
            </w:r>
          </w:p>
        </w:tc>
        <w:tc>
          <w:tcPr/>
          <w:p>
            <w:pPr>
              <w:pStyle w:val="Compact"/>
              <w:jc w:val="center"/>
            </w:pPr>
            <w:r>
              <w:t xml:space="preserve">68.482</w:t>
            </w:r>
          </w:p>
        </w:tc>
      </w:tr>
      <w:tr>
        <w:tc>
          <w:tcPr/>
          <w:p>
            <w:pPr>
              <w:pStyle w:val="Compact"/>
              <w:jc w:val="left"/>
            </w:pPr>
            <w:r>
              <w:t xml:space="preserve">Sulawesi Barat</w:t>
            </w:r>
          </w:p>
        </w:tc>
        <w:tc>
          <w:tcPr/>
          <w:p>
            <w:pPr>
              <w:pStyle w:val="Compact"/>
              <w:jc w:val="center"/>
            </w:pPr>
            <w:r>
              <w:t xml:space="preserve">86</w:t>
            </w:r>
          </w:p>
        </w:tc>
        <w:tc>
          <w:tcPr/>
          <w:p>
            <w:pPr>
              <w:pStyle w:val="Compact"/>
              <w:jc w:val="center"/>
            </w:pPr>
            <w:r>
              <w:t xml:space="preserve">101</w:t>
            </w:r>
          </w:p>
        </w:tc>
        <w:tc>
          <w:tcPr/>
          <w:p>
            <w:pPr>
              <w:pStyle w:val="Compact"/>
              <w:jc w:val="center"/>
            </w:pPr>
            <w:r>
              <w:t xml:space="preserve">15.056</w:t>
            </w:r>
          </w:p>
        </w:tc>
        <w:tc>
          <w:tcPr/>
          <w:p>
            <w:pPr>
              <w:pStyle w:val="Compact"/>
              <w:jc w:val="center"/>
            </w:pPr>
            <w:r>
              <w:t xml:space="preserve">16.870</w:t>
            </w:r>
          </w:p>
        </w:tc>
      </w:tr>
      <w:tr>
        <w:tc>
          <w:tcPr/>
          <w:p>
            <w:pPr>
              <w:pStyle w:val="Compact"/>
              <w:jc w:val="left"/>
            </w:pPr>
            <w:r>
              <w:t xml:space="preserve">Sulawesi Selatan</w:t>
            </w:r>
          </w:p>
        </w:tc>
        <w:tc>
          <w:tcPr/>
          <w:p>
            <w:pPr>
              <w:pStyle w:val="Compact"/>
              <w:jc w:val="center"/>
            </w:pPr>
            <w:r>
              <w:t xml:space="preserve">342</w:t>
            </w:r>
          </w:p>
        </w:tc>
        <w:tc>
          <w:tcPr/>
          <w:p>
            <w:pPr>
              <w:pStyle w:val="Compact"/>
              <w:jc w:val="center"/>
            </w:pPr>
            <w:r>
              <w:t xml:space="preserve">389</w:t>
            </w:r>
          </w:p>
        </w:tc>
        <w:tc>
          <w:tcPr/>
          <w:p>
            <w:pPr>
              <w:pStyle w:val="Compact"/>
              <w:jc w:val="center"/>
            </w:pPr>
            <w:r>
              <w:t xml:space="preserve">82.283</w:t>
            </w:r>
          </w:p>
        </w:tc>
        <w:tc>
          <w:tcPr/>
          <w:p>
            <w:pPr>
              <w:pStyle w:val="Compact"/>
              <w:jc w:val="center"/>
            </w:pPr>
            <w:r>
              <w:t xml:space="preserve">88.219</w:t>
            </w:r>
          </w:p>
        </w:tc>
      </w:tr>
      <w:tr>
        <w:tc>
          <w:tcPr/>
          <w:p>
            <w:pPr>
              <w:pStyle w:val="Compact"/>
              <w:jc w:val="left"/>
            </w:pPr>
            <w:r>
              <w:t xml:space="preserve">Sulawesi Tengah</w:t>
            </w:r>
          </w:p>
        </w:tc>
        <w:tc>
          <w:tcPr/>
          <w:p>
            <w:pPr>
              <w:pStyle w:val="Compact"/>
              <w:jc w:val="center"/>
            </w:pPr>
            <w:r>
              <w:t xml:space="preserve">109</w:t>
            </w:r>
          </w:p>
        </w:tc>
        <w:tc>
          <w:tcPr/>
          <w:p>
            <w:pPr>
              <w:pStyle w:val="Compact"/>
              <w:jc w:val="center"/>
            </w:pPr>
            <w:r>
              <w:t xml:space="preserve">130</w:t>
            </w:r>
          </w:p>
        </w:tc>
        <w:tc>
          <w:tcPr/>
          <w:p>
            <w:pPr>
              <w:pStyle w:val="Compact"/>
              <w:jc w:val="center"/>
            </w:pPr>
            <w:r>
              <w:t xml:space="preserve">12.553</w:t>
            </w:r>
          </w:p>
        </w:tc>
        <w:tc>
          <w:tcPr/>
          <w:p>
            <w:pPr>
              <w:pStyle w:val="Compact"/>
              <w:jc w:val="center"/>
            </w:pPr>
            <w:r>
              <w:t xml:space="preserve">14.222</w:t>
            </w:r>
          </w:p>
        </w:tc>
      </w:tr>
      <w:tr>
        <w:tc>
          <w:tcPr/>
          <w:p>
            <w:pPr>
              <w:pStyle w:val="Compact"/>
              <w:jc w:val="left"/>
            </w:pPr>
            <w:r>
              <w:t xml:space="preserve">Sulawesi Tenggara</w:t>
            </w:r>
          </w:p>
        </w:tc>
        <w:tc>
          <w:tcPr/>
          <w:p>
            <w:pPr>
              <w:pStyle w:val="Compact"/>
              <w:jc w:val="center"/>
            </w:pPr>
            <w:r>
              <w:t xml:space="preserve">109</w:t>
            </w:r>
          </w:p>
        </w:tc>
        <w:tc>
          <w:tcPr/>
          <w:p>
            <w:pPr>
              <w:pStyle w:val="Compact"/>
              <w:jc w:val="center"/>
            </w:pPr>
            <w:r>
              <w:t xml:space="preserve">117</w:t>
            </w:r>
          </w:p>
        </w:tc>
        <w:tc>
          <w:tcPr/>
          <w:p>
            <w:pPr>
              <w:pStyle w:val="Compact"/>
              <w:jc w:val="center"/>
            </w:pPr>
            <w:r>
              <w:t xml:space="preserve">17.286</w:t>
            </w:r>
          </w:p>
        </w:tc>
        <w:tc>
          <w:tcPr/>
          <w:p>
            <w:pPr>
              <w:pStyle w:val="Compact"/>
              <w:jc w:val="center"/>
            </w:pPr>
            <w:r>
              <w:t xml:space="preserve">15.395</w:t>
            </w:r>
          </w:p>
        </w:tc>
      </w:tr>
      <w:tr>
        <w:tc>
          <w:tcPr/>
          <w:p>
            <w:pPr>
              <w:pStyle w:val="Compact"/>
              <w:jc w:val="left"/>
            </w:pPr>
            <w:r>
              <w:t xml:space="preserve">Sulawesi Utara</w:t>
            </w:r>
          </w:p>
        </w:tc>
        <w:tc>
          <w:tcPr/>
          <w:p>
            <w:pPr>
              <w:pStyle w:val="Compact"/>
              <w:jc w:val="center"/>
            </w:pPr>
            <w:r>
              <w:t xml:space="preserve">22</w:t>
            </w:r>
          </w:p>
        </w:tc>
        <w:tc>
          <w:tcPr/>
          <w:p>
            <w:pPr>
              <w:pStyle w:val="Compact"/>
              <w:jc w:val="center"/>
            </w:pPr>
            <w:r>
              <w:t xml:space="preserve">28</w:t>
            </w:r>
          </w:p>
        </w:tc>
        <w:tc>
          <w:tcPr/>
          <w:p>
            <w:pPr>
              <w:pStyle w:val="Compact"/>
              <w:jc w:val="center"/>
            </w:pPr>
            <w:r>
              <w:t xml:space="preserve">6.071</w:t>
            </w:r>
          </w:p>
        </w:tc>
        <w:tc>
          <w:tcPr/>
          <w:p>
            <w:pPr>
              <w:pStyle w:val="Compact"/>
              <w:jc w:val="center"/>
            </w:pPr>
            <w:r>
              <w:t xml:space="preserve">5.226</w:t>
            </w:r>
          </w:p>
        </w:tc>
      </w:tr>
      <w:tr>
        <w:tc>
          <w:tcPr/>
          <w:p>
            <w:pPr>
              <w:pStyle w:val="Compact"/>
              <w:jc w:val="left"/>
            </w:pPr>
            <w:r>
              <w:t xml:space="preserve">Sumatera Barat</w:t>
            </w:r>
          </w:p>
        </w:tc>
        <w:tc>
          <w:tcPr/>
          <w:p>
            <w:pPr>
              <w:pStyle w:val="Compact"/>
              <w:jc w:val="center"/>
            </w:pPr>
            <w:r>
              <w:t xml:space="preserve">240</w:t>
            </w:r>
          </w:p>
        </w:tc>
        <w:tc>
          <w:tcPr/>
          <w:p>
            <w:pPr>
              <w:pStyle w:val="Compact"/>
              <w:jc w:val="center"/>
            </w:pPr>
            <w:r>
              <w:t xml:space="preserve">263</w:t>
            </w:r>
          </w:p>
        </w:tc>
        <w:tc>
          <w:tcPr/>
          <w:p>
            <w:pPr>
              <w:pStyle w:val="Compact"/>
              <w:jc w:val="center"/>
            </w:pPr>
            <w:r>
              <w:t xml:space="preserve">44.118</w:t>
            </w:r>
          </w:p>
        </w:tc>
        <w:tc>
          <w:tcPr/>
          <w:p>
            <w:pPr>
              <w:pStyle w:val="Compact"/>
              <w:jc w:val="center"/>
            </w:pPr>
            <w:r>
              <w:t xml:space="preserve">51.781</w:t>
            </w:r>
          </w:p>
        </w:tc>
      </w:tr>
      <w:tr>
        <w:tc>
          <w:tcPr/>
          <w:p>
            <w:pPr>
              <w:pStyle w:val="Compact"/>
              <w:jc w:val="left"/>
            </w:pPr>
            <w:r>
              <w:t xml:space="preserve">Sumatera Selatan</w:t>
            </w:r>
          </w:p>
        </w:tc>
        <w:tc>
          <w:tcPr/>
          <w:p>
            <w:pPr>
              <w:pStyle w:val="Compact"/>
              <w:jc w:val="center"/>
            </w:pPr>
            <w:r>
              <w:t xml:space="preserve">378</w:t>
            </w:r>
          </w:p>
        </w:tc>
        <w:tc>
          <w:tcPr/>
          <w:p>
            <w:pPr>
              <w:pStyle w:val="Compact"/>
              <w:jc w:val="center"/>
            </w:pPr>
            <w:r>
              <w:t xml:space="preserve">510</w:t>
            </w:r>
          </w:p>
        </w:tc>
        <w:tc>
          <w:tcPr/>
          <w:p>
            <w:pPr>
              <w:pStyle w:val="Compact"/>
              <w:jc w:val="center"/>
            </w:pPr>
            <w:r>
              <w:t xml:space="preserve">86.667</w:t>
            </w:r>
          </w:p>
        </w:tc>
        <w:tc>
          <w:tcPr/>
          <w:p>
            <w:pPr>
              <w:pStyle w:val="Compact"/>
              <w:jc w:val="center"/>
            </w:pPr>
            <w:r>
              <w:t xml:space="preserve">91.787</w:t>
            </w:r>
          </w:p>
        </w:tc>
      </w:tr>
      <w:tr>
        <w:tc>
          <w:tcPr/>
          <w:p>
            <w:pPr>
              <w:pStyle w:val="Compact"/>
              <w:jc w:val="left"/>
            </w:pPr>
            <w:r>
              <w:t xml:space="preserve">Sumatera Utara</w:t>
            </w:r>
          </w:p>
        </w:tc>
        <w:tc>
          <w:tcPr/>
          <w:p>
            <w:pPr>
              <w:pStyle w:val="Compact"/>
              <w:jc w:val="center"/>
            </w:pPr>
            <w:r>
              <w:t xml:space="preserve">252</w:t>
            </w:r>
          </w:p>
        </w:tc>
        <w:tc>
          <w:tcPr/>
          <w:p>
            <w:pPr>
              <w:pStyle w:val="Compact"/>
              <w:jc w:val="center"/>
            </w:pPr>
            <w:r>
              <w:t xml:space="preserve">345</w:t>
            </w:r>
          </w:p>
        </w:tc>
        <w:tc>
          <w:tcPr/>
          <w:p>
            <w:pPr>
              <w:pStyle w:val="Compact"/>
              <w:jc w:val="center"/>
            </w:pPr>
            <w:r>
              <w:t xml:space="preserve">94.888</w:t>
            </w:r>
          </w:p>
        </w:tc>
        <w:tc>
          <w:tcPr/>
          <w:p>
            <w:pPr>
              <w:pStyle w:val="Compact"/>
              <w:jc w:val="center"/>
            </w:pPr>
            <w:r>
              <w:t xml:space="preserve">113.156</w:t>
            </w:r>
          </w:p>
        </w:tc>
      </w:tr>
    </w:tbl>
    <w:p>
      <w:pPr>
        <w:pStyle w:val="BodyText"/>
      </w:pPr>
      <w:r>
        <w:rPr>
          <w:i/>
          <w:iCs/>
        </w:rPr>
        <w:t xml:space="preserve">Tabel: Jumlah pondok pesantren dan santri per provinsi (Kemenag, Data Pokok Pendidikan Pesantren TA 2020/2021 &amp; 2021/2022</w:t>
      </w:r>
      <w:hyperlink r:id="rId28">
        <w:r>
          <w:rPr>
            <w:rStyle w:val="Hyperlink"/>
            <w:i/>
            <w:iCs/>
          </w:rPr>
          <w:t xml:space="preserve">[8]</w:t>
        </w:r>
      </w:hyperlink>
      <w:hyperlink r:id="rId29">
        <w:r>
          <w:rPr>
            <w:rStyle w:val="Hyperlink"/>
            <w:i/>
            <w:iCs/>
          </w:rPr>
          <w:t xml:space="preserve">[9]</w:t>
        </w:r>
      </w:hyperlink>
      <w:r>
        <w:rPr>
          <w:i/>
          <w:iCs/>
        </w:rPr>
        <w:t xml:space="preserve">).</w:t>
      </w:r>
    </w:p>
    <w:p>
      <w:pPr>
        <w:pStyle w:val="BodyText"/>
      </w:pPr>
      <w:r>
        <w:t xml:space="preserve">Dari tabel di atas dan data Kemenag tersebut dapat dilihat tren penambahan pesantren secara umum (misalnya di Jabar, Jateng, Jatim naik signifikan), tetapi juga mengonfirmasi beberapa penurunan santri di wilayah tertentu (contoh Aceh, NTB) sebagaimana disinggung. Semua data disajikan sesuai sumber resmi Kemenag untuk kepastian dan verifikasi</w:t>
      </w:r>
      <w:hyperlink r:id="rId24">
        <w:r>
          <w:rPr>
            <w:rStyle w:val="Hyperlink"/>
          </w:rPr>
          <w:t xml:space="preserve">[4]</w:t>
        </w:r>
      </w:hyperlink>
      <w:hyperlink r:id="rId30">
        <w:r>
          <w:rPr>
            <w:rStyle w:val="Hyperlink"/>
          </w:rPr>
          <w:t xml:space="preserve">[10]</w:t>
        </w:r>
      </w:hyperlink>
      <w:r>
        <w:t xml:space="preserve">.</w:t>
      </w:r>
    </w:p>
    <w:p>
      <w:pPr>
        <w:pStyle w:val="BodyText"/>
      </w:pPr>
      <w:r>
        <w:rPr>
          <w:b/>
          <w:bCs/>
        </w:rPr>
        <w:t xml:space="preserve">Sumber:</w:t>
      </w:r>
      <w:r>
        <w:t xml:space="preserve"> </w:t>
      </w:r>
      <w:r>
        <w:t xml:space="preserve">Data Kementerian Agama RI (Statistik Pendidikan Pesantren) dan publikasi resmi terkait</w:t>
      </w:r>
      <w:hyperlink r:id="rId22">
        <w:r>
          <w:rPr>
            <w:rStyle w:val="Hyperlink"/>
          </w:rPr>
          <w:t xml:space="preserve">[2]</w:t>
        </w:r>
      </w:hyperlink>
      <w:hyperlink r:id="rId21">
        <w:r>
          <w:rPr>
            <w:rStyle w:val="Hyperlink"/>
          </w:rPr>
          <w:t xml:space="preserve">[1]</w:t>
        </w:r>
      </w:hyperlink>
      <w:r>
        <w:t xml:space="preserve">. Angka-angka santri dan pesantren per provinsi di atas diambil dari portal SatuData Kemenag</w:t>
      </w:r>
      <w:hyperlink r:id="rId28">
        <w:r>
          <w:rPr>
            <w:rStyle w:val="Hyperlink"/>
          </w:rPr>
          <w:t xml:space="preserve">[8]</w:t>
        </w:r>
      </w:hyperlink>
      <w:hyperlink r:id="rId29">
        <w:r>
          <w:rPr>
            <w:rStyle w:val="Hyperlink"/>
          </w:rPr>
          <w:t xml:space="preserve">[9]</w:t>
        </w:r>
      </w:hyperlink>
      <w:r>
        <w:t xml:space="preserve">.</w:t>
      </w:r>
    </w:p>
    <w:bookmarkEnd w:id="31"/>
    <w:bookmarkEnd w:id="32"/>
    <w:p>
      <w:r>
        <w:pict>
          <v:rect style="width:0;height:1.5pt" o:hralign="center" o:hrstd="t" o:hr="t"/>
        </w:pict>
      </w:r>
    </w:p>
    <w:bookmarkStart w:id="38" w:name="citations"/>
    <w:p>
      <w:pPr>
        <w:pStyle w:val="FirstParagraph"/>
      </w:pPr>
      <w:hyperlink r:id="rId21">
        <w:r>
          <w:rPr>
            <w:rStyle w:val="Hyperlink"/>
          </w:rPr>
          <w:t xml:space="preserve">[1]</w:t>
        </w:r>
      </w:hyperlink>
      <w:r>
        <w:t xml:space="preserve"> </w:t>
      </w:r>
      <w:r>
        <w:t xml:space="preserve">pdfs.semanticscholar.org</w:t>
      </w:r>
    </w:p>
    <w:p>
      <w:pPr>
        <w:pStyle w:val="BodyText"/>
      </w:pPr>
      <w:hyperlink r:id="rId33">
        <w:r>
          <w:rPr>
            <w:rStyle w:val="Hyperlink"/>
          </w:rPr>
          <w:t xml:space="preserve">https://pdfs.semanticscholar.org/b61c/4907e09e36278f1f42f62a81e2bc7a8ea265.pdf</w:t>
        </w:r>
      </w:hyperlink>
    </w:p>
    <w:p>
      <w:pPr>
        <w:pStyle w:val="BodyText"/>
      </w:pPr>
      <w:hyperlink r:id="rId22">
        <w:r>
          <w:rPr>
            <w:rStyle w:val="Hyperlink"/>
          </w:rPr>
          <w:t xml:space="preserve">[2]</w:t>
        </w:r>
      </w:hyperlink>
      <w:r>
        <w:t xml:space="preserve"> </w:t>
      </w:r>
      <w:r>
        <w:t xml:space="preserve">Peran pesantren membangun kesadaran lingkungan yang berkelanjutan - ANTARA News</w:t>
      </w:r>
    </w:p>
    <w:p>
      <w:pPr>
        <w:pStyle w:val="BodyText"/>
      </w:pPr>
      <w:hyperlink r:id="rId34">
        <w:r>
          <w:rPr>
            <w:rStyle w:val="Hyperlink"/>
          </w:rPr>
          <w:t xml:space="preserve">https://www.antaranews.com/berita/4704797/peran-pesantren-membangun-kesadaran-lingkungan-yang-berkelanjutan</w:t>
        </w:r>
      </w:hyperlink>
    </w:p>
    <w:p>
      <w:pPr>
        <w:pStyle w:val="BodyText"/>
      </w:pPr>
      <w:hyperlink r:id="rId23">
        <w:r>
          <w:rPr>
            <w:rStyle w:val="Hyperlink"/>
          </w:rPr>
          <w:t xml:space="preserve">[3]</w:t>
        </w:r>
      </w:hyperlink>
      <w:r>
        <w:t xml:space="preserve"> </w:t>
      </w:r>
      <w:r>
        <w:t xml:space="preserve">Ini Syarat Mendirikan Pesantren</w:t>
      </w:r>
      <w:r>
        <w:t xml:space="preserve"> </w:t>
      </w:r>
    </w:p>
    <w:p>
      <w:pPr>
        <w:pStyle w:val="BodyText"/>
      </w:pPr>
      <w:hyperlink r:id="rId35">
        <w:r>
          <w:rPr>
            <w:rStyle w:val="Hyperlink"/>
          </w:rPr>
          <w:t xml:space="preserve">https://mediaindonesia.com/humaniora/711095/ini-syarat-mendirikan-pesantren</w:t>
        </w:r>
      </w:hyperlink>
    </w:p>
    <w:p>
      <w:pPr>
        <w:pStyle w:val="BodyText"/>
      </w:pP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30">
        <w:r>
          <w:rPr>
            <w:rStyle w:val="Hyperlink"/>
          </w:rPr>
          <w:t xml:space="preserve">[10]</w:t>
        </w:r>
      </w:hyperlink>
      <w:r>
        <w:t xml:space="preserve"> </w:t>
      </w:r>
      <w:r>
        <w:t xml:space="preserve">Satu Data Kementerian Agama</w:t>
      </w:r>
    </w:p>
    <w:p>
      <w:pPr>
        <w:pStyle w:val="BodyText"/>
      </w:pPr>
      <w:hyperlink r:id="rId36">
        <w:r>
          <w:rPr>
            <w:rStyle w:val="Hyperlink"/>
          </w:rPr>
          <w:t xml:space="preserve">https://satudata.kemenag.go.id/dataset/detail/jumlah-santri-pada-pondok-pesantren-menurut-jenis-kelamin-dan-kategori-tempat-tinggal</w:t>
        </w:r>
      </w:hyperlink>
    </w:p>
    <w:p>
      <w:pPr>
        <w:pStyle w:val="BodyText"/>
      </w:pPr>
      <w:hyperlink r:id="rId29">
        <w:r>
          <w:rPr>
            <w:rStyle w:val="Hyperlink"/>
          </w:rPr>
          <w:t xml:space="preserve">[9]</w:t>
        </w:r>
      </w:hyperlink>
      <w:r>
        <w:t xml:space="preserve"> </w:t>
      </w:r>
      <w:r>
        <w:t xml:space="preserve">Satu Data Kementerian Agama</w:t>
      </w:r>
    </w:p>
    <w:p>
      <w:pPr>
        <w:pStyle w:val="BodyText"/>
      </w:pPr>
      <w:hyperlink r:id="rId37">
        <w:r>
          <w:rPr>
            <w:rStyle w:val="Hyperlink"/>
          </w:rPr>
          <w:t xml:space="preserve">https://satudata.kemenag.go.id/dataset/detail/jumlah-pondok-pesantren-guru-dan-santri-menurut-provinsi</w:t>
        </w:r>
      </w:hyperlink>
    </w:p>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mediaindonesia.com/humaniora/711095/ini-syarat-mendirikan-pesantren" TargetMode="External" /><Relationship Type="http://schemas.openxmlformats.org/officeDocument/2006/relationships/hyperlink" Id="rId23" Target="https://mediaindonesia.com/humaniora/711095/ini-syarat-mendirikan-pesantren#:~:text=Secara%20statistik%2C%20Kementerian%20Agama%20mencatat,dalam%20pendidikan%20Islam%20di%20Indonesia" TargetMode="External" /><Relationship Type="http://schemas.openxmlformats.org/officeDocument/2006/relationships/hyperlink" Id="rId33" Target="https://pdfs.semanticscholar.org/b61c/4907e09e36278f1f42f62a81e2bc7a8ea265.pdf" TargetMode="External" /><Relationship Type="http://schemas.openxmlformats.org/officeDocument/2006/relationships/hyperlink" Id="rId21" Target="https://pdfs.semanticscholar.org/b61c/4907e09e36278f1f42f62a81e2bc7a8ea265.pdf#:~:text=pendapat%20umum%20yang%20bernada%20negatif,2%29%20menyatakan" TargetMode="External" /><Relationship Type="http://schemas.openxmlformats.org/officeDocument/2006/relationships/hyperlink" Id="rId37" Target="https://satudata.kemenag.go.id/dataset/detail/jumlah-pondok-pesantren-guru-dan-santri-menurut-provinsi" TargetMode="External" /><Relationship Type="http://schemas.openxmlformats.org/officeDocument/2006/relationships/hyperlink" Id="rId29" Target="https://satudata.kemenag.go.id/dataset/detail/jumlah-pondok-pesantren-guru-dan-santri-menurut-provinsi#:~:text=provinsi%20%20ponpes%20%20guru,583%20%202020%2F2021" TargetMode="External" /><Relationship Type="http://schemas.openxmlformats.org/officeDocument/2006/relationships/hyperlink" Id="rId36" Target="https://satudata.kemenag.go.id/dataset/detail/jumlah-santri-pada-pondok-pesantren-menurut-jenis-kelamin-dan-kategori-tempat-tinggal" TargetMode="External" /><Relationship Type="http://schemas.openxmlformats.org/officeDocument/2006/relationships/hyperlink" Id="rId25" Target="https://satudata.kemenag.go.id/dataset/detail/jumlah-santri-pada-pondok-pesantren-menurut-jenis-kelamin-dan-kategori-tempat-tinggal#:~:text=Aceh%20%20129,386%20%202022%2F2023" TargetMode="External" /><Relationship Type="http://schemas.openxmlformats.org/officeDocument/2006/relationships/hyperlink" Id="rId30" Target="https://satudata.kemenag.go.id/dataset/detail/jumlah-santri-pada-pondok-pesantren-menurut-jenis-kelamin-dan-kategori-tempat-tinggal#:~:text=Bali%20%205,285%20%202022%2F2023" TargetMode="External" /><Relationship Type="http://schemas.openxmlformats.org/officeDocument/2006/relationships/hyperlink" Id="rId26" Target="https://satudata.kemenag.go.id/dataset/detail/jumlah-santri-pada-pondok-pesantren-menurut-jenis-kelamin-dan-kategori-tempat-tinggal#:~:text=Banten%20%20245,011%20%202020%2F2021" TargetMode="External" /><Relationship Type="http://schemas.openxmlformats.org/officeDocument/2006/relationships/hyperlink" Id="rId27" Target="https://satudata.kemenag.go.id/dataset/detail/jumlah-santri-pada-pondok-pesantren-menurut-jenis-kelamin-dan-kategori-tempat-tinggal#:~:text=Banten%20%20253,285%20%202022%2F2023" TargetMode="External" /><Relationship Type="http://schemas.openxmlformats.org/officeDocument/2006/relationships/hyperlink" Id="rId28" Target="https://satudata.kemenag.go.id/dataset/detail/jumlah-santri-pada-pondok-pesantren-menurut-jenis-kelamin-dan-kategori-tempat-tinggal#:~:text=provinsi%20%20laki_laki%20%20perempuan,583%20%202020%2F2021" TargetMode="External" /><Relationship Type="http://schemas.openxmlformats.org/officeDocument/2006/relationships/hyperlink" Id="rId24" Target="https://satudata.kemenag.go.id/dataset/detail/jumlah-santri-pada-pondok-pesantren-menurut-jenis-kelamin-dan-kategori-tempat-tinggal#:~:text=provinsi%20%20laki_laki%20%20perempuan,667%20%202020%2F2021" TargetMode="External" /><Relationship Type="http://schemas.openxmlformats.org/officeDocument/2006/relationships/hyperlink" Id="rId34" Target="https://www.antaranews.com/berita/4704797/peran-pesantren-membangun-kesadaran-lingkungan-yang-berkelanjutan" TargetMode="External" /><Relationship Type="http://schemas.openxmlformats.org/officeDocument/2006/relationships/hyperlink" Id="rId22" Target="https://www.antaranews.com/berita/4704797/peran-pesantren-membangun-kesadaran-lingkungan-yang-berkelanjutan#:~:text=Indonesia%20memiliki%20banyak%20pondok%20pesantren,santri%20sekitar%204%2C9%20juta%20jiwa" TargetMode="External" /></Relationships>
</file>

<file path=word/_rels/footnotes.xml.rels><?xml version="1.0" encoding="UTF-8"?><Relationships xmlns="http://schemas.openxmlformats.org/package/2006/relationships"><Relationship Type="http://schemas.openxmlformats.org/officeDocument/2006/relationships/hyperlink" Id="rId35" Target="https://mediaindonesia.com/humaniora/711095/ini-syarat-mendirikan-pesantren" TargetMode="External" /><Relationship Type="http://schemas.openxmlformats.org/officeDocument/2006/relationships/hyperlink" Id="rId23" Target="https://mediaindonesia.com/humaniora/711095/ini-syarat-mendirikan-pesantren#:~:text=Secara%20statistik%2C%20Kementerian%20Agama%20mencatat,dalam%20pendidikan%20Islam%20di%20Indonesia" TargetMode="External" /><Relationship Type="http://schemas.openxmlformats.org/officeDocument/2006/relationships/hyperlink" Id="rId33" Target="https://pdfs.semanticscholar.org/b61c/4907e09e36278f1f42f62a81e2bc7a8ea265.pdf" TargetMode="External" /><Relationship Type="http://schemas.openxmlformats.org/officeDocument/2006/relationships/hyperlink" Id="rId21" Target="https://pdfs.semanticscholar.org/b61c/4907e09e36278f1f42f62a81e2bc7a8ea265.pdf#:~:text=pendapat%20umum%20yang%20bernada%20negatif,2%29%20menyatakan" TargetMode="External" /><Relationship Type="http://schemas.openxmlformats.org/officeDocument/2006/relationships/hyperlink" Id="rId37" Target="https://satudata.kemenag.go.id/dataset/detail/jumlah-pondok-pesantren-guru-dan-santri-menurut-provinsi" TargetMode="External" /><Relationship Type="http://schemas.openxmlformats.org/officeDocument/2006/relationships/hyperlink" Id="rId29" Target="https://satudata.kemenag.go.id/dataset/detail/jumlah-pondok-pesantren-guru-dan-santri-menurut-provinsi#:~:text=provinsi%20%20ponpes%20%20guru,583%20%202020%2F2021" TargetMode="External" /><Relationship Type="http://schemas.openxmlformats.org/officeDocument/2006/relationships/hyperlink" Id="rId36" Target="https://satudata.kemenag.go.id/dataset/detail/jumlah-santri-pada-pondok-pesantren-menurut-jenis-kelamin-dan-kategori-tempat-tinggal" TargetMode="External" /><Relationship Type="http://schemas.openxmlformats.org/officeDocument/2006/relationships/hyperlink" Id="rId25" Target="https://satudata.kemenag.go.id/dataset/detail/jumlah-santri-pada-pondok-pesantren-menurut-jenis-kelamin-dan-kategori-tempat-tinggal#:~:text=Aceh%20%20129,386%20%202022%2F2023" TargetMode="External" /><Relationship Type="http://schemas.openxmlformats.org/officeDocument/2006/relationships/hyperlink" Id="rId30" Target="https://satudata.kemenag.go.id/dataset/detail/jumlah-santri-pada-pondok-pesantren-menurut-jenis-kelamin-dan-kategori-tempat-tinggal#:~:text=Bali%20%205,285%20%202022%2F2023" TargetMode="External" /><Relationship Type="http://schemas.openxmlformats.org/officeDocument/2006/relationships/hyperlink" Id="rId26" Target="https://satudata.kemenag.go.id/dataset/detail/jumlah-santri-pada-pondok-pesantren-menurut-jenis-kelamin-dan-kategori-tempat-tinggal#:~:text=Banten%20%20245,011%20%202020%2F2021" TargetMode="External" /><Relationship Type="http://schemas.openxmlformats.org/officeDocument/2006/relationships/hyperlink" Id="rId27" Target="https://satudata.kemenag.go.id/dataset/detail/jumlah-santri-pada-pondok-pesantren-menurut-jenis-kelamin-dan-kategori-tempat-tinggal#:~:text=Banten%20%20253,285%20%202022%2F2023" TargetMode="External" /><Relationship Type="http://schemas.openxmlformats.org/officeDocument/2006/relationships/hyperlink" Id="rId28" Target="https://satudata.kemenag.go.id/dataset/detail/jumlah-santri-pada-pondok-pesantren-menurut-jenis-kelamin-dan-kategori-tempat-tinggal#:~:text=provinsi%20%20laki_laki%20%20perempuan,583%20%202020%2F2021" TargetMode="External" /><Relationship Type="http://schemas.openxmlformats.org/officeDocument/2006/relationships/hyperlink" Id="rId24" Target="https://satudata.kemenag.go.id/dataset/detail/jumlah-santri-pada-pondok-pesantren-menurut-jenis-kelamin-dan-kategori-tempat-tinggal#:~:text=provinsi%20%20laki_laki%20%20perempuan,667%20%202020%2F2021" TargetMode="External" /><Relationship Type="http://schemas.openxmlformats.org/officeDocument/2006/relationships/hyperlink" Id="rId34" Target="https://www.antaranews.com/berita/4704797/peran-pesantren-membangun-kesadaran-lingkungan-yang-berkelanjutan" TargetMode="External" /><Relationship Type="http://schemas.openxmlformats.org/officeDocument/2006/relationships/hyperlink" Id="rId22" Target="https://www.antaranews.com/berita/4704797/peran-pesantren-membangun-kesadaran-lingkungan-yang-berkelanjutan#:~:text=Indonesia%20memiliki%20banyak%20pondok%20pesantren,santri%20sekitar%204%2C9%20juta%20jiw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2025-08-08T08:02:13Z</dcterms:created>
  <dcterms:modified xsi:type="dcterms:W3CDTF">2025-08-08T08:02:13Z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