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6071B" w14:textId="77777777" w:rsidR="00C52DAF" w:rsidRDefault="00C52DAF" w:rsidP="00C52DAF">
      <w:pPr>
        <w:spacing w:line="360" w:lineRule="auto"/>
        <w:jc w:val="center"/>
        <w:rPr>
          <w:rFonts w:ascii="Arial" w:hAnsi="Arial" w:cs="Arial"/>
          <w:color w:val="1D1C1D"/>
          <w:sz w:val="24"/>
          <w:szCs w:val="24"/>
        </w:rPr>
      </w:pPr>
      <w:r w:rsidRPr="00C52DAF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REGRAS DE NEGÓCIO</w:t>
      </w:r>
    </w:p>
    <w:p w14:paraId="4505AF1C" w14:textId="77777777" w:rsidR="00C52DAF" w:rsidRDefault="00C52DAF" w:rsidP="00C52DAF">
      <w:pPr>
        <w:spacing w:line="360" w:lineRule="auto"/>
        <w:rPr>
          <w:rFonts w:ascii="Arial" w:hAnsi="Arial" w:cs="Arial"/>
          <w:color w:val="1D1C1D"/>
          <w:sz w:val="24"/>
          <w:szCs w:val="24"/>
        </w:rPr>
      </w:pPr>
      <w:r w:rsidRPr="00C52DAF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RN01</w:t>
      </w:r>
      <w:r w:rsidRPr="00C52DAF">
        <w:rPr>
          <w:rFonts w:ascii="Arial" w:hAnsi="Arial" w:cs="Arial"/>
          <w:color w:val="1D1C1D"/>
          <w:sz w:val="24"/>
          <w:szCs w:val="24"/>
          <w:shd w:val="clear" w:color="auto" w:fill="F8F8F8"/>
        </w:rPr>
        <w:t> (Joyce 21/02)</w:t>
      </w:r>
      <w:r w:rsidRPr="00C52DAF">
        <w:rPr>
          <w:rFonts w:ascii="Arial" w:hAnsi="Arial" w:cs="Arial"/>
          <w:color w:val="1D1C1D"/>
          <w:sz w:val="24"/>
          <w:szCs w:val="24"/>
        </w:rPr>
        <w:br/>
      </w:r>
      <w:r w:rsidRPr="00C52DAF">
        <w:rPr>
          <w:rFonts w:ascii="Arial" w:hAnsi="Arial" w:cs="Arial"/>
          <w:color w:val="1D1C1D"/>
          <w:sz w:val="24"/>
          <w:szCs w:val="24"/>
          <w:shd w:val="clear" w:color="auto" w:fill="F8F8F8"/>
        </w:rPr>
        <w:t> Município deve divulgar segundo (Lei da Transparência ou Lei Capiberibe(lei n° 6.924,de 25 de julho de 2009)</w:t>
      </w:r>
      <w:r w:rsidRPr="00C52DAF">
        <w:rPr>
          <w:rFonts w:ascii="Arial" w:hAnsi="Arial" w:cs="Arial"/>
          <w:color w:val="1D1C1D"/>
          <w:sz w:val="24"/>
          <w:szCs w:val="24"/>
        </w:rPr>
        <w:br/>
      </w:r>
      <w:r w:rsidRPr="00C52DAF">
        <w:rPr>
          <w:rFonts w:ascii="Arial" w:hAnsi="Arial" w:cs="Arial"/>
          <w:color w:val="1D1C1D"/>
          <w:sz w:val="24"/>
          <w:szCs w:val="24"/>
          <w:shd w:val="clear" w:color="auto" w:fill="F8F8F8"/>
        </w:rPr>
        <w:t> - Quanto à despesa: todos os atos praticados pelas unidades gestoras no decorrer da execução da despesa, no momento de sua realização, com a disponibilização mínima dos dados referentes ao número do correspondente processo, ao bem fornecido ou ao serviço prestado, à pessoa física ou jurídica beneficiária do pagamento e, quando for o caso, ao procedimento licitatório realizado;</w:t>
      </w:r>
      <w:r w:rsidRPr="00C52DAF">
        <w:rPr>
          <w:rFonts w:ascii="Arial" w:hAnsi="Arial" w:cs="Arial"/>
          <w:color w:val="1D1C1D"/>
          <w:sz w:val="24"/>
          <w:szCs w:val="24"/>
        </w:rPr>
        <w:br/>
      </w:r>
      <w:r w:rsidRPr="00C52DAF">
        <w:rPr>
          <w:rFonts w:ascii="Arial" w:hAnsi="Arial" w:cs="Arial"/>
          <w:color w:val="1D1C1D"/>
          <w:sz w:val="24"/>
          <w:szCs w:val="24"/>
          <w:shd w:val="clear" w:color="auto" w:fill="F8F8F8"/>
        </w:rPr>
        <w:t> - Quanto à receita: o lançamento e o recebimento de toda a receita das unidades gestoras, inclusive referente a recursos extraordinários.</w:t>
      </w:r>
      <w:r w:rsidRPr="00C52DAF">
        <w:rPr>
          <w:rFonts w:ascii="Arial" w:hAnsi="Arial" w:cs="Arial"/>
          <w:color w:val="1D1C1D"/>
          <w:sz w:val="24"/>
          <w:szCs w:val="24"/>
        </w:rPr>
        <w:br/>
      </w:r>
      <w:r w:rsidRPr="00C52DAF">
        <w:rPr>
          <w:rFonts w:ascii="Arial" w:hAnsi="Arial" w:cs="Arial"/>
          <w:color w:val="1D1C1D"/>
          <w:sz w:val="24"/>
          <w:szCs w:val="24"/>
          <w:shd w:val="clear" w:color="auto" w:fill="F8F8F8"/>
        </w:rPr>
        <w:t> • Receitas</w:t>
      </w:r>
      <w:r w:rsidRPr="00C52DAF">
        <w:rPr>
          <w:rFonts w:ascii="Arial" w:hAnsi="Arial" w:cs="Arial"/>
          <w:color w:val="1D1C1D"/>
          <w:sz w:val="24"/>
          <w:szCs w:val="24"/>
        </w:rPr>
        <w:br/>
      </w:r>
      <w:r w:rsidRPr="00C52DAF">
        <w:rPr>
          <w:rFonts w:ascii="Arial" w:hAnsi="Arial" w:cs="Arial"/>
          <w:color w:val="1D1C1D"/>
          <w:sz w:val="24"/>
          <w:szCs w:val="24"/>
          <w:shd w:val="clear" w:color="auto" w:fill="F8F8F8"/>
        </w:rPr>
        <w:t> • Despesas</w:t>
      </w:r>
      <w:r w:rsidRPr="00C52DAF">
        <w:rPr>
          <w:rFonts w:ascii="Arial" w:hAnsi="Arial" w:cs="Arial"/>
          <w:color w:val="1D1C1D"/>
          <w:sz w:val="24"/>
          <w:szCs w:val="24"/>
        </w:rPr>
        <w:br/>
      </w:r>
      <w:r w:rsidRPr="00C52DAF">
        <w:rPr>
          <w:rFonts w:ascii="Arial" w:hAnsi="Arial" w:cs="Arial"/>
          <w:color w:val="1D1C1D"/>
          <w:sz w:val="24"/>
          <w:szCs w:val="24"/>
          <w:shd w:val="clear" w:color="auto" w:fill="F8F8F8"/>
        </w:rPr>
        <w:t> • Fornecedores</w:t>
      </w:r>
      <w:r w:rsidRPr="00C52DAF">
        <w:rPr>
          <w:rFonts w:ascii="Arial" w:hAnsi="Arial" w:cs="Arial"/>
          <w:color w:val="1D1C1D"/>
          <w:sz w:val="24"/>
          <w:szCs w:val="24"/>
        </w:rPr>
        <w:br/>
      </w:r>
      <w:r w:rsidRPr="00C52DAF">
        <w:rPr>
          <w:rFonts w:ascii="Arial" w:hAnsi="Arial" w:cs="Arial"/>
          <w:color w:val="1D1C1D"/>
          <w:sz w:val="24"/>
          <w:szCs w:val="24"/>
          <w:shd w:val="clear" w:color="auto" w:fill="F8F8F8"/>
        </w:rPr>
        <w:t> • Programas, ações e projetos</w:t>
      </w:r>
    </w:p>
    <w:p w14:paraId="3C70D9C9" w14:textId="77777777" w:rsidR="00C52DAF" w:rsidRDefault="00C52DAF" w:rsidP="00C52DAF">
      <w:pPr>
        <w:spacing w:line="360" w:lineRule="auto"/>
        <w:rPr>
          <w:rFonts w:ascii="Arial" w:hAnsi="Arial" w:cs="Arial"/>
          <w:color w:val="1D1C1D"/>
          <w:sz w:val="24"/>
          <w:szCs w:val="24"/>
        </w:rPr>
      </w:pPr>
      <w:r w:rsidRPr="00C52DAF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RN02</w:t>
      </w:r>
      <w:r w:rsidRPr="00C52DAF">
        <w:rPr>
          <w:rFonts w:ascii="Arial" w:hAnsi="Arial" w:cs="Arial"/>
          <w:color w:val="1D1C1D"/>
          <w:sz w:val="24"/>
          <w:szCs w:val="24"/>
          <w:shd w:val="clear" w:color="auto" w:fill="F8F8F8"/>
        </w:rPr>
        <w:t> (Joyce 21/02)</w:t>
      </w:r>
      <w:r w:rsidRPr="00C52DAF">
        <w:rPr>
          <w:rFonts w:ascii="Arial" w:hAnsi="Arial" w:cs="Arial"/>
          <w:color w:val="1D1C1D"/>
          <w:sz w:val="24"/>
          <w:szCs w:val="24"/>
        </w:rPr>
        <w:br/>
      </w:r>
      <w:r w:rsidRPr="00C52DAF">
        <w:rPr>
          <w:rFonts w:ascii="Arial" w:hAnsi="Arial" w:cs="Arial"/>
          <w:color w:val="1D1C1D"/>
          <w:sz w:val="24"/>
          <w:szCs w:val="24"/>
          <w:shd w:val="clear" w:color="auto" w:fill="F8F8F8"/>
        </w:rPr>
        <w:t> As informações devem estar disponíveis para qualquer cidadão independente de sua limitação, sendo o mesmo, surdo, cego ou qualquer outro tipo de limitação.</w:t>
      </w:r>
    </w:p>
    <w:p w14:paraId="00E63368" w14:textId="6A93A013" w:rsidR="00FF50B1" w:rsidRPr="00C52DAF" w:rsidRDefault="00C52DAF" w:rsidP="00C52DAF">
      <w:pPr>
        <w:spacing w:line="360" w:lineRule="auto"/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</w:pPr>
      <w:r w:rsidRPr="00C52DAF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RN03</w:t>
      </w:r>
      <w:r w:rsidRPr="00C52DAF">
        <w:rPr>
          <w:rFonts w:ascii="Arial" w:hAnsi="Arial" w:cs="Arial"/>
          <w:color w:val="1D1C1D"/>
          <w:sz w:val="24"/>
          <w:szCs w:val="24"/>
          <w:shd w:val="clear" w:color="auto" w:fill="F8F8F8"/>
        </w:rPr>
        <w:t> (Rafael 21/02)</w:t>
      </w:r>
      <w:r w:rsidRPr="00C52DAF">
        <w:rPr>
          <w:rFonts w:ascii="Arial" w:hAnsi="Arial" w:cs="Arial"/>
          <w:color w:val="1D1C1D"/>
          <w:sz w:val="24"/>
          <w:szCs w:val="24"/>
        </w:rPr>
        <w:br/>
      </w:r>
      <w:r w:rsidRPr="00C52DAF">
        <w:rPr>
          <w:rFonts w:ascii="Arial" w:hAnsi="Arial" w:cs="Arial"/>
          <w:color w:val="1D1C1D"/>
          <w:sz w:val="24"/>
          <w:szCs w:val="24"/>
          <w:shd w:val="clear" w:color="auto" w:fill="F8F8F8"/>
        </w:rPr>
        <w:t> A publicação dos dados deve ser feita pelo órgão público responsável, sendo assim uma fonte confiável para a consulta.</w:t>
      </w:r>
    </w:p>
    <w:sectPr w:rsidR="00FF50B1" w:rsidRPr="00C52D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AF"/>
    <w:rsid w:val="008A1118"/>
    <w:rsid w:val="00C52DAF"/>
    <w:rsid w:val="00CC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57F7E"/>
  <w15:chartTrackingRefBased/>
  <w15:docId w15:val="{9A2D2AF1-87D7-41AB-93DF-E50ACDF2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890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Silveira</dc:creator>
  <cp:keywords/>
  <dc:description/>
  <cp:lastModifiedBy>Joyce Silveira</cp:lastModifiedBy>
  <cp:revision>1</cp:revision>
  <dcterms:created xsi:type="dcterms:W3CDTF">2020-05-11T12:50:00Z</dcterms:created>
  <dcterms:modified xsi:type="dcterms:W3CDTF">2020-05-11T12:53:00Z</dcterms:modified>
</cp:coreProperties>
</file>