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580" w:val="clear"/>
        <w:spacing w:after="0" w:before="0"/>
        <w:ind w:left="1440" w:right="1440"/>
      </w:pPr>
      <w:r>
        <w:rPr>
          <w:rFonts w:ascii="Open Sans" w:cs="Open Sans" w:eastAsia="Open Sans" w:hAnsi="Open Sans"/>
          <w:sz w:val="120"/>
          <w:szCs w:val="120"/>
        </w:rPr>
        <w:t xml:space="preserve"/>
      </w:r>
    </w:p>
    <w:p>
      <w:pPr>
        <w:shd w:fill="1B3580" w:val="clear"/>
        <w:spacing w:after="0" w:before="600"/>
        <w:ind w:left="1440" w:right="1440"/>
        <w:jc w:val="left"/>
      </w:pPr>
      <w:r>
        <w:rPr>
          <w:rFonts w:ascii="Open Sans" w:cs="Open Sans" w:eastAsia="Open Sans" w:hAnsi="Open Sans"/>
          <w:b/>
          <w:bCs/>
          <w:color w:val="F07B1B"/>
          <w:sz w:val="28"/>
          <w:szCs w:val="28"/>
        </w:rPr>
        <w:t xml:space="preserve">SOPRAVAL / AGROSUPER</w:t>
      </w:r>
    </w:p>
    <w:p>
      <w:pPr>
        <w:shd w:fill="1B3580" w:val="clear"/>
        <w:spacing w:after="0" w:before="200"/>
        <w:ind w:left="1440" w:right="1440"/>
        <w:jc w:val="left"/>
      </w:pPr>
      <w:r>
        <w:rPr>
          <w:rFonts w:ascii="Open Sans" w:cs="Open Sans" w:eastAsia="Open Sans" w:hAnsi="Open Sans"/>
          <w:b/>
          <w:bCs/>
          <w:color w:val="FFFFFF"/>
          <w:sz w:val="48"/>
          <w:szCs w:val="48"/>
        </w:rPr>
        <w:t xml:space="preserve">DOCUMENTO OFICIAL DE PROCESO</w:t>
      </w:r>
    </w:p>
    <w:p>
      <w:pPr>
        <w:shd w:fill="1B3580" w:val="clear"/>
        <w:spacing w:after="600" w:before="180"/>
        <w:ind w:left="1440" w:right="1440"/>
        <w:jc w:val="left"/>
      </w:pPr>
      <w:r>
        <w:rPr>
          <w:rFonts w:ascii="Open Sans" w:cs="Open Sans" w:eastAsia="Open Sans" w:hAnsi="Open Sans"/>
          <w:color w:val="BFD0F5"/>
          <w:sz w:val="32"/>
          <w:szCs w:val="32"/>
        </w:rPr>
        <w:t xml:space="preserve">Portal de Requerimientos de Infraestructura</w:t>
      </w:r>
    </w:p>
    <w:p>
      <w:pPr>
        <w:shd w:fill="F07B1B" w:val="clear"/>
        <w:spacing w:after="0" w:before="0"/>
      </w:pPr>
      <w:r>
        <w:rPr>
          <w:rFonts w:ascii="Open Sans" w:cs="Open Sans" w:eastAsia="Open Sans" w:hAnsi="Open Sans"/>
          <w:sz w:val="48"/>
          <w:szCs w:val="48"/>
        </w:rP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 w:before="400"/>
        <w:ind w:left="1440" w:right="1440"/>
        <w:jc w:val="left"/>
      </w:pPr>
      <w:r>
        <w:rPr>
          <w:rFonts w:ascii="Open Sans" w:cs="Open Sans" w:eastAsia="Open Sans" w:hAnsi="Open Sans"/>
          <w:b/>
          <w:bCs/>
          <w:color w:val="1B3580"/>
          <w:sz w:val="28"/>
          <w:szCs w:val="28"/>
        </w:rPr>
        <w:t xml:space="preserve">Gestión de Requerimientos de Infraestructura</w:t>
      </w:r>
    </w:p>
    <w:p>
      <w:pPr>
        <w:spacing w:after="800" w:before="0"/>
        <w:ind w:left="1440" w:right="1440"/>
        <w:jc w:val="left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Planta Industrial Sopraval · Área de Mantenimiento e Infraestructura</w:t>
      </w:r>
    </w:p>
    <w:tbl>
      <w:tblPr>
        <w:tblW w:type="dxa" w:w="7920"/>
        <w:tblInd w:type="dxa" w:w="1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2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Código documento</w:t>
            </w:r>
          </w:p>
        </w:tc>
        <w:tc>
          <w:tcPr>
            <w:tcW w:type="dxa" w:w="57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AGS-INF-PRC-001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Versión</w:t>
            </w:r>
          </w:p>
        </w:tc>
        <w:tc>
          <w:tcPr>
            <w:tcW w:type="dxa" w:w="57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Fecha de emisión</w:t>
            </w:r>
          </w:p>
        </w:tc>
        <w:tc>
          <w:tcPr>
            <w:tcW w:type="dxa" w:w="57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Junio 2026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Estado</w:t>
            </w:r>
          </w:p>
        </w:tc>
        <w:tc>
          <w:tcPr>
            <w:tcW w:type="dxa" w:w="57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Vigente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57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Uso Interno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Área responsable</w:t>
            </w:r>
          </w:p>
        </w:tc>
        <w:tc>
          <w:tcPr>
            <w:tcW w:type="dxa" w:w="57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Mantenimiento e Infraestructura — Sopraval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ind w:left="1440" w:right="1440"/>
        <w:jc w:val="center"/>
      </w:pPr>
      <w:r>
        <w:rPr>
          <w:rFonts w:ascii="Open Sans" w:cs="Open Sans" w:eastAsia="Open Sans" w:hAnsi="Open Sans"/>
          <w:color w:val="9CA3AF"/>
          <w:sz w:val="18"/>
          <w:szCs w:val="18"/>
        </w:rPr>
        <w:t xml:space="preserve">Planta Industrial Sopraval · Sistema de Gestión de Requerimientos</w:t>
      </w:r>
    </w:p>
    <w:p>
      <w:r>
        <w:br w:type="page"/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Open Sans" w:cs="Open Sans" w:eastAsia="Open Sans" w:hAnsi="Open Sans"/>
          <w:b/>
          <w:bCs/>
          <w:color w:val="1B3580"/>
          <w:sz w:val="28"/>
          <w:szCs w:val="28"/>
        </w:rPr>
        <w:t xml:space="preserve">1. Control de Versiones</w:t>
      </w:r>
    </w:p>
    <w:p>
      <w:pPr>
        <w:pBdr>
          <w:bottom w:val="single" w:color="F07B1B" w:sz="12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3160"/>
        <w:gridCol w:w="1600"/>
      </w:tblGrid>
      <w:tr>
        <w:tc>
          <w:tcPr>
            <w:tcW w:type="dxa" w:w="120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20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6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160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Jun 2026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Área Mantenimiento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Creación del documento de proceso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Vigente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Open Sans" w:cs="Open Sans" w:eastAsia="Open Sans" w:hAnsi="Open Sans"/>
          <w:b/>
          <w:bCs/>
          <w:color w:val="1B3580"/>
          <w:sz w:val="28"/>
          <w:szCs w:val="28"/>
        </w:rPr>
        <w:t xml:space="preserve">2. Objetivo</w:t>
      </w:r>
    </w:p>
    <w:p>
      <w:pPr>
        <w:pBdr>
          <w:bottom w:val="single" w:color="F07B1B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Establecer y formalizar el proceso de gestión de requerimientos de infraestructura en la Planta Industrial Sopraval, a través del Portal Digital de Requerimientos (sistema web Firebase), garantizando trazabilidad, control de costos, autorización gerencial y ejecución oportuna de cada solicitud, desde su creación hasta su cierre definitivo.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80" w:before="360"/>
      </w:pPr>
      <w:r>
        <w:rPr>
          <w:rFonts w:ascii="Open Sans" w:cs="Open Sans" w:eastAsia="Open Sans" w:hAnsi="Open Sans"/>
          <w:b/>
          <w:bCs/>
          <w:color w:val="1B3580"/>
          <w:sz w:val="28"/>
          <w:szCs w:val="28"/>
        </w:rPr>
        <w:t xml:space="preserve">3. Alcance</w:t>
      </w:r>
    </w:p>
    <w:p>
      <w:pPr>
        <w:pBdr>
          <w:bottom w:val="single" w:color="F07B1B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El presente proceso aplica 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Todas las solicitudes de requerimiento de infraestructura generadas en la Planta Industrial Sopraval.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Todos los usuarios internos con acceso al Portal de Requerimientos: Solicitantes, Coordinador de Mantenimiento, Jefaturas de Área, Gerencia y Supervisores.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Las solicitudes cuyo flujo de aprobación implique valorización económica y autorización de inversión (códigos API y/o SIM).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Las solicitudes clasificadas como activables (API — Autorización para Invertir / SIM — Solicitud de Inversión Menor).</w:t>
      </w:r>
    </w:p>
    <w:p>
      <w:pPr>
        <w:spacing w:after="120"/>
      </w:pPr>
      <w:r>
        <w:rPr>
          <w:rFonts w:ascii="Open Sans" w:cs="Open Sans" w:eastAsia="Open Sans" w:hAnsi="Open Sans"/>
          <w:color w:val="6B7280"/>
          <w:sz w:val="22"/>
          <w:szCs w:val="22"/>
        </w:rPr>
        <w:t xml:space="preserve">Queda fuera del alcance de este documento: la gestión contable posterior al cierre de la solicitud y los procesos de adquisición de materiales.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80" w:before="360"/>
      </w:pPr>
      <w:r>
        <w:rPr>
          <w:rFonts w:ascii="Open Sans" w:cs="Open Sans" w:eastAsia="Open Sans" w:hAnsi="Open Sans"/>
          <w:b/>
          <w:bCs/>
          <w:color w:val="1B3580"/>
          <w:sz w:val="28"/>
          <w:szCs w:val="28"/>
        </w:rPr>
        <w:t xml:space="preserve">4. Referencias y Documentos Relacionados</w:t>
      </w:r>
    </w:p>
    <w:p>
      <w:pPr>
        <w:pBdr>
          <w:bottom w:val="single" w:color="F07B1B" w:sz="12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B3580"/>
                <w:sz w:val="20"/>
                <w:szCs w:val="20"/>
              </w:rPr>
              <w:t xml:space="preserve">Portal de Requerimientos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sz w:val="20"/>
                <w:szCs w:val="20"/>
              </w:rPr>
              <w:t xml:space="preserve">Sistema web — https://portalsopraval.github.io/requerimientos-de-infraestructura/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B3580"/>
                <w:sz w:val="20"/>
                <w:szCs w:val="20"/>
              </w:rPr>
              <w:t xml:space="preserve">Política de Inversiones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sz w:val="20"/>
                <w:szCs w:val="20"/>
              </w:rPr>
              <w:t xml:space="preserve">Normas internas para aprobación de inversiones API / SIM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B3580"/>
                <w:sz w:val="20"/>
                <w:szCs w:val="20"/>
              </w:rPr>
              <w:t xml:space="preserve">Manual de Usuarios del Portal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sz w:val="20"/>
                <w:szCs w:val="20"/>
              </w:rPr>
              <w:t xml:space="preserve">Guía de uso por rol disponible en el sistema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B3580"/>
                <w:sz w:val="20"/>
                <w:szCs w:val="20"/>
              </w:rPr>
              <w:t xml:space="preserve">Plan de Mantenimiento Anual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sz w:val="20"/>
                <w:szCs w:val="20"/>
              </w:rPr>
              <w:t xml:space="preserve">Documento base para identificación de activables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Open Sans" w:cs="Open Sans" w:eastAsia="Open Sans" w:hAnsi="Open Sans"/>
          <w:b/>
          <w:bCs/>
          <w:color w:val="1B3580"/>
          <w:sz w:val="28"/>
          <w:szCs w:val="28"/>
        </w:rPr>
        <w:t xml:space="preserve">5. Definiciones y Términos Clave</w:t>
      </w:r>
    </w:p>
    <w:p>
      <w:pPr>
        <w:pBdr>
          <w:bottom w:val="single" w:color="F07B1B" w:sz="12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Solicitud / Requerimiento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74151"/>
                <w:sz w:val="20"/>
                <w:szCs w:val="20"/>
              </w:rPr>
              <w:t xml:space="preserve">Registro digital de una necesidad de infraestructura en el portal.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74151"/>
                <w:sz w:val="20"/>
                <w:szCs w:val="20"/>
              </w:rPr>
              <w:t xml:space="preserve">Autorización para Invertir. Código presupuestario requerido para proyectos de inversión mayores.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SIM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74151"/>
                <w:sz w:val="20"/>
                <w:szCs w:val="20"/>
              </w:rPr>
              <w:t xml:space="preserve">Solicitud de Inversión Menor. Código para inversiones de menor escala dentro del presupuesto operacional.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Activable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74151"/>
                <w:sz w:val="20"/>
                <w:szCs w:val="20"/>
              </w:rPr>
              <w:t xml:space="preserve">Solicitud que por su naturaleza requiere un código de inversión (API o SIM) antes de su ejecución.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Coordinador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74151"/>
                <w:sz w:val="20"/>
                <w:szCs w:val="20"/>
              </w:rPr>
              <w:t xml:space="preserve">Fabián Escobara (fescobara@sopraval.cl) — responsable de la primera revisión, derivación y cierre de solicitudes.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Jefatura de Área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74151"/>
                <w:sz w:val="20"/>
                <w:szCs w:val="20"/>
              </w:rPr>
              <w:t xml:space="preserve">Técnicos de mantenimiento asignados para valorización y ejecución: C. Madrid, G. Zapata, C. Crojas, C. López.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Valorización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74151"/>
                <w:sz w:val="20"/>
                <w:szCs w:val="20"/>
              </w:rPr>
              <w:t xml:space="preserve">Ingreso del costo estimado del trabajo por parte de la Jefatura de Área asignada.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Semáforo de Tiempos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74151"/>
                <w:sz w:val="20"/>
                <w:szCs w:val="20"/>
              </w:rPr>
              <w:t xml:space="preserve">Indicador visual (🟢🟡🟠🔴) que alerta al Coordinador sobre solicitudes próximas a vencer su tiempo estimado.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20"/>
                <w:szCs w:val="20"/>
              </w:rPr>
              <w:t xml:space="preserve">Historial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374151"/>
                <w:sz w:val="20"/>
                <w:szCs w:val="20"/>
              </w:rPr>
              <w:t xml:space="preserve">Registro cronológico e inmutable de todas las acciones realizadas sobre cada solicitud.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Open Sans" w:cs="Open Sans" w:eastAsia="Open Sans" w:hAnsi="Open Sans"/>
          <w:b/>
          <w:bCs/>
          <w:color w:val="1B3580"/>
          <w:sz w:val="28"/>
          <w:szCs w:val="28"/>
        </w:rPr>
        <w:t xml:space="preserve">6. Actores y Responsabilidades</w:t>
      </w:r>
    </w:p>
    <w:p>
      <w:pPr>
        <w:pBdr>
          <w:bottom w:val="single" w:color="F07B1B" w:sz="12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7B1B" w:sz="4"/>
              <w:left w:val="single" w:color="F07B1B" w:sz="4"/>
              <w:bottom w:val="single" w:color="F07B1B" w:sz="4"/>
              <w:right w:val="single" w:color="F07B1B" w:sz="4"/>
            </w:tcBorders>
            <w:shd w:fill="F07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Solicitante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Crear nuevas solicitudes de requerimiento en el portal.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Completar todos los campos requeridos: descripción, área, prioridad, fotografías.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Ingresar el número de código API o SIM una vez que la Gerencia lo autoriza.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Hacer seguimiento al estado de sus solicitudes a través del portal.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Coordinador de Mantenimiento (Fescobara)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Realizar la primera revisión de cada solicitud (aceptar o rechazar con motivo).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Derivar las solicitudes aceptadas a la Jefatura de Área correspondiente para valorización.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Asignar el ejecutor responsable una vez ingresado el código API/SIM.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Monitorear los tiempos de ejecución mediante el Semáforo de Tiempos.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Realizar la revisión final del trabajo ejecutado y cerrar la solicitud.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Jefatura de Área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Ingresar la valorización económica (costo estimado) de las solicitudes asignadas.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Ejecutar el trabajo requerido una vez asignado como ejecutor.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Registrar el cierre técnico del trabajo en el portal.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580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Gerente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Revisar las solicitudes con valorización ingresada (estado: Valorizada).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Autorizar, rechazar o postergar solicitudes desde el panel de Autorización.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400"/>
              <w:bottom w:type="dxa" w:w="8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• Ingresar comentarios u observaciones sobre la decisión tomada.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Open Sans" w:cs="Open Sans" w:eastAsia="Open Sans" w:hAnsi="Open Sans"/>
          <w:b/>
          <w:bCs/>
          <w:color w:val="1B3580"/>
          <w:sz w:val="28"/>
          <w:szCs w:val="28"/>
        </w:rPr>
        <w:t xml:space="preserve">7. Descripción del Proceso</w:t>
      </w:r>
    </w:p>
    <w:p>
      <w:pPr>
        <w:pBdr>
          <w:bottom w:val="single" w:color="F07B1B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El proceso se ejecuta en ocho etapas secuenciales dentro del Portal de Requerimientos. Cada etapa tiene un responsable definido y genera un cambio de estado en el sistema.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single" w:color="F07B1B" w:sz="4"/>
              <w:left w:val="single" w:color="F07B1B" w:sz="4"/>
              <w:bottom w:val="single" w:color="F07B1B" w:sz="4"/>
              <w:right w:val="single" w:color="F07B1B" w:sz="4"/>
            </w:tcBorders>
            <w:shd w:fill="F07B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660"/>
            <w:tcBorders>
              <w:top w:val="single" w:color="F07B1B" w:sz="4"/>
              <w:left w:val="single" w:color="F07B1B" w:sz="4"/>
              <w:bottom w:val="single" w:color="F07B1B" w:sz="4"/>
              <w:right w:val="single" w:color="F07B1B" w:sz="4"/>
            </w:tcBorders>
            <w:shd w:fill="F07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Creación de Solicitud</w:t>
            </w:r>
            <w:r>
              <w:rPr>
                <w:rFonts w:ascii="Open Sans" w:cs="Open Sans" w:eastAsia="Open Sans" w:hAnsi="Open Sans"/>
                <w:color w:val="E5E7EB"/>
                <w:sz w:val="20"/>
                <w:szCs w:val="20"/>
              </w:rPr>
              <w:t xml:space="preserve">   — Solicitante</w:t>
            </w:r>
          </w:p>
        </w:tc>
      </w:tr>
      <w:tr>
        <w:tc>
          <w:tcPr>
            <w:vMerge w:val="continue"/>
            <w:tcBorders>
              <w:top w:val="single" w:color="F07B1B" w:sz="4"/>
              <w:left w:val="single" w:color="F07B1B" w:sz="4"/>
              <w:bottom w:val="single" w:color="F07B1B" w:sz="4"/>
              <w:right w:val="single" w:color="F07B1B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El Solicitante accede al portal y selecciona "Nueva Solicitud". Completa el formulario con descripción del requerimiento, área, nivel de prioridad (Alta / Media / Baja) y fotografías opcionales. Al enviar, el sistema genera un código único (REQ-AAAA-NNN) y la solicitud queda en estado Pendiente. El Coordinador recibe una notificación automática.</w:t>
            </w:r>
          </w:p>
        </w:tc>
      </w:tr>
      <w:tr>
        <w:tc>
          <w:tcPr>
            <w:vMerge w:val="continue"/>
            <w:tcBorders>
              <w:top w:val="single" w:color="F07B1B" w:sz="4"/>
              <w:left w:val="single" w:color="F07B1B" w:sz="4"/>
              <w:bottom w:val="single" w:color="F07B1B" w:sz="4"/>
              <w:right w:val="single" w:color="F07B1B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92400E"/>
                <w:sz w:val="19"/>
                <w:szCs w:val="19"/>
              </w:rPr>
              <w:t xml:space="preserve">Estado resultante: Pendiente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66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Primera Revisión (Coordinador)</w:t>
            </w:r>
            <w:r>
              <w:rPr>
                <w:rFonts w:ascii="Open Sans" w:cs="Open Sans" w:eastAsia="Open Sans" w:hAnsi="Open Sans"/>
                <w:color w:val="E5E7EB"/>
                <w:sz w:val="20"/>
                <w:szCs w:val="20"/>
              </w:rPr>
              <w:t xml:space="preserve">   — Coordinador — Fescobara</w:t>
            </w:r>
          </w:p>
        </w:tc>
      </w:tr>
      <w:tr>
        <w:tc>
          <w:tcPr>
            <w:vMerge w:val="continue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El Coordinador recibe la notificación y abre la solicitud desde el modal de detalle. Evalúa si la solicitud es pertinente y técnicamente viable. Puede: (a) Aceptar — la solicitud avanza al proceso de derivación, o (b) Rechazar — se registra el motivo de rechazo y se notifica al Solicitante, finalizando el flujo.</w:t>
            </w:r>
          </w:p>
        </w:tc>
      </w:tr>
      <w:tr>
        <w:tc>
          <w:tcPr>
            <w:vMerge w:val="continue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B91C1C"/>
                <w:sz w:val="19"/>
                <w:szCs w:val="19"/>
              </w:rPr>
              <w:t xml:space="preserve">Estado resultante: Pendiente → Rechazada / Sigue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66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Derivación a Jefatura de Área</w:t>
            </w:r>
            <w:r>
              <w:rPr>
                <w:rFonts w:ascii="Open Sans" w:cs="Open Sans" w:eastAsia="Open Sans" w:hAnsi="Open Sans"/>
                <w:color w:val="E5E7EB"/>
                <w:sz w:val="20"/>
                <w:szCs w:val="20"/>
              </w:rPr>
              <w:t xml:space="preserve">   — Coordinador — Fescobara</w:t>
            </w:r>
          </w:p>
        </w:tc>
      </w:tr>
      <w:tr>
        <w:tc>
          <w:tcPr>
            <w:vMerge w:val="continue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Una vez aceptada, el Coordinador selecciona la Jefatura de Área responsable de la valorización (C. Madrid P., G. Zapata, C. Crojas o C. López) y el tiempo estimado de ejecución. Si la solicitud es activable, se marca el flag correspondiente. El sistema cambia el estado a Derivada y notifica al técnico asignado.</w:t>
            </w:r>
          </w:p>
        </w:tc>
      </w:tr>
      <w:tr>
        <w:tc>
          <w:tcPr>
            <w:vMerge w:val="continue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E40AF"/>
                <w:sz w:val="19"/>
                <w:szCs w:val="19"/>
              </w:rPr>
              <w:t xml:space="preserve">Estado resultante: Derivada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6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Valorización de Costos</w:t>
            </w:r>
            <w:r>
              <w:rPr>
                <w:rFonts w:ascii="Open Sans" w:cs="Open Sans" w:eastAsia="Open Sans" w:hAnsi="Open Sans"/>
                <w:color w:val="E5E7EB"/>
                <w:sz w:val="20"/>
                <w:szCs w:val="20"/>
              </w:rPr>
              <w:t xml:space="preserve">   — Jefatura de Área</w:t>
            </w:r>
          </w:p>
        </w:tc>
      </w:tr>
      <w:tr>
        <w:tc>
          <w:tcPr>
            <w:vMerge w:val="continue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La Jefatura asignada ingresa el costo estimado total del trabajo (materiales + mano de obra). Una vez confirmado, el estado cambia a Valorizada. El Gerente recibe una notificación automática para revisión.</w:t>
            </w:r>
          </w:p>
        </w:tc>
      </w:tr>
      <w:tr>
        <w:tc>
          <w:tcPr>
            <w:vMerge w:val="continue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6D28D9"/>
                <w:sz w:val="19"/>
                <w:szCs w:val="19"/>
              </w:rPr>
              <w:t xml:space="preserve">Estado resultante: Valorizada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580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660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580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Autorización Gerencial</w:t>
            </w:r>
            <w:r>
              <w:rPr>
                <w:rFonts w:ascii="Open Sans" w:cs="Open Sans" w:eastAsia="Open Sans" w:hAnsi="Open Sans"/>
                <w:color w:val="E5E7EB"/>
                <w:sz w:val="20"/>
                <w:szCs w:val="20"/>
              </w:rPr>
              <w:t xml:space="preserve">   — Gerente</w:t>
            </w:r>
          </w:p>
        </w:tc>
      </w:tr>
      <w:tr>
        <w:tc>
          <w:tcPr>
            <w:vMerge w:val="continue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El Gerente revisa la solicitud valorizada desde su panel de Autorización. Evalúa pertinencia y disponibilidad presupuestaria. Puede: (a) Autorizar — avanza al estado PendienteCodigo, (b) Rechazar — finaliza el flujo con notificación al Solicitante, o (c) Postergar — queda en espera de revisión futura.</w:t>
            </w:r>
          </w:p>
        </w:tc>
      </w:tr>
      <w:tr>
        <w:tc>
          <w:tcPr>
            <w:vMerge w:val="continue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65F46"/>
                <w:sz w:val="19"/>
                <w:szCs w:val="19"/>
              </w:rPr>
              <w:t xml:space="preserve">Estado resultante: PendienteCodigo / Rechazada / Postergada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single" w:color="F07B1B" w:sz="4"/>
              <w:left w:val="single" w:color="F07B1B" w:sz="4"/>
              <w:bottom w:val="single" w:color="F07B1B" w:sz="4"/>
              <w:right w:val="single" w:color="F07B1B" w:sz="4"/>
            </w:tcBorders>
            <w:shd w:fill="F07B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660"/>
            <w:tcBorders>
              <w:top w:val="single" w:color="F07B1B" w:sz="4"/>
              <w:left w:val="single" w:color="F07B1B" w:sz="4"/>
              <w:bottom w:val="single" w:color="F07B1B" w:sz="4"/>
              <w:right w:val="single" w:color="F07B1B" w:sz="4"/>
            </w:tcBorders>
            <w:shd w:fill="F07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Ingreso de Código API / SIM</w:t>
            </w:r>
            <w:r>
              <w:rPr>
                <w:rFonts w:ascii="Open Sans" w:cs="Open Sans" w:eastAsia="Open Sans" w:hAnsi="Open Sans"/>
                <w:color w:val="E5E7EB"/>
                <w:sz w:val="20"/>
                <w:szCs w:val="20"/>
              </w:rPr>
              <w:t xml:space="preserve">   — Solicitante</w:t>
            </w:r>
          </w:p>
        </w:tc>
      </w:tr>
      <w:tr>
        <w:tc>
          <w:tcPr>
            <w:vMerge w:val="continue"/>
            <w:tcBorders>
              <w:top w:val="single" w:color="F07B1B" w:sz="4"/>
              <w:left w:val="single" w:color="F07B1B" w:sz="4"/>
              <w:bottom w:val="single" w:color="F07B1B" w:sz="4"/>
              <w:right w:val="single" w:color="F07B1B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El Solicitante recibe notificación de autorización y debe ingresar el número de código presupuestario correspondiente: API (Autorización para Invertir) o SIM (Solicitud de Inversión Menor). El sistema actualiza el estado a PendienteEjecucion, habilitando la asignación de ejecutor.</w:t>
            </w:r>
          </w:p>
        </w:tc>
      </w:tr>
      <w:tr>
        <w:tc>
          <w:tcPr>
            <w:vMerge w:val="continue"/>
            <w:tcBorders>
              <w:top w:val="single" w:color="F07B1B" w:sz="4"/>
              <w:left w:val="single" w:color="F07B1B" w:sz="4"/>
              <w:bottom w:val="single" w:color="F07B1B" w:sz="4"/>
              <w:right w:val="single" w:color="F07B1B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92400E"/>
                <w:sz w:val="19"/>
                <w:szCs w:val="19"/>
              </w:rPr>
              <w:t xml:space="preserve">Estado resultante: PendienteEjecucion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66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Asignación de Ejecutor y Ejecución</w:t>
            </w:r>
            <w:r>
              <w:rPr>
                <w:rFonts w:ascii="Open Sans" w:cs="Open Sans" w:eastAsia="Open Sans" w:hAnsi="Open Sans"/>
                <w:color w:val="E5E7EB"/>
                <w:sz w:val="20"/>
                <w:szCs w:val="20"/>
              </w:rPr>
              <w:t xml:space="preserve">   — Coordinador + Jefatura</w:t>
            </w:r>
          </w:p>
        </w:tc>
      </w:tr>
      <w:tr>
        <w:tc>
          <w:tcPr>
            <w:vMerge w:val="continue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El Coordinador asigna al técnico ejecutor responsable de realizar el trabajo. La solicitud pasa a estado EnEjecucion. El ejecutor realiza las tareas requeridas en terreno y registra el término del trabajo en el portal, cambiando el estado a PendienteRevision.</w:t>
            </w:r>
          </w:p>
        </w:tc>
      </w:tr>
      <w:tr>
        <w:tc>
          <w:tcPr>
            <w:vMerge w:val="continue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E40AF"/>
                <w:sz w:val="19"/>
                <w:szCs w:val="19"/>
              </w:rPr>
              <w:t xml:space="preserve">Estado resultante: EnEjecucion → PendienteRevision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66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Revisión Final y Cierre</w:t>
            </w:r>
            <w:r>
              <w:rPr>
                <w:rFonts w:ascii="Open Sans" w:cs="Open Sans" w:eastAsia="Open Sans" w:hAnsi="Open Sans"/>
                <w:color w:val="E5E7EB"/>
                <w:sz w:val="20"/>
                <w:szCs w:val="20"/>
              </w:rPr>
              <w:t xml:space="preserve">   — Coordinador — Fescobara</w:t>
            </w:r>
          </w:p>
        </w:tc>
      </w:tr>
      <w:tr>
        <w:tc>
          <w:tcPr>
            <w:vMerge w:val="continue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El Coordinador realiza la revisión final del trabajo ejecutado. Si el trabajo es conforme, cierra la solicitud con estado Completada y registra observaciones en el historial. Si detecta inconformidades, puede devolver al ejecutor para corrección antes del cierre definitivo.</w:t>
            </w:r>
          </w:p>
        </w:tc>
      </w:tr>
      <w:tr>
        <w:tc>
          <w:tcPr>
            <w:vMerge w:val="continue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</w:tcPr>
          <w:p/>
        </w:tc>
        <w:tc>
          <w:tcPr>
            <w:tcW w:type="dxa" w:w="8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65F46"/>
                <w:sz w:val="19"/>
                <w:szCs w:val="19"/>
              </w:rPr>
              <w:t xml:space="preserve">Estado resultante: Completada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Open Sans" w:cs="Open Sans" w:eastAsia="Open Sans" w:hAnsi="Open Sans"/>
          <w:b/>
          <w:bCs/>
          <w:color w:val="1B3580"/>
          <w:sz w:val="28"/>
          <w:szCs w:val="28"/>
        </w:rPr>
        <w:t xml:space="preserve">8. Diagrama Resumen del Flujo</w:t>
      </w:r>
    </w:p>
    <w:p>
      <w:pPr>
        <w:pBdr>
          <w:bottom w:val="single" w:color="F07B1B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El siguiente diagrama muestra el flujo completo del proceso por actor: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7B1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Crea solicitud → Ingresa código API/SIM (paso 6)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Coordinador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Primera revisión → Deriva a Jefatura → Asigna ejecutor → Revisión final y cierre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Jefatura de Área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Valoriza costos → Ejecuta trabajo en terreno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580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Gerente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Autoriza / Rechaza / Posterga solicitud valorizada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Sistema (Portal)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Genera ticket REQ-AAAA-NNN · Notifica actores · Registra historial · Semáforo de tiempos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Open Sans" w:cs="Open Sans" w:eastAsia="Open Sans" w:hAnsi="Open Sans"/>
          <w:b/>
          <w:bCs/>
          <w:color w:val="374151"/>
          <w:sz w:val="24"/>
          <w:szCs w:val="24"/>
        </w:rPr>
        <w:t xml:space="preserve">8.1 Secuencia de Estados del Sistema</w:t>
      </w:r>
    </w:p>
    <w:p>
      <w:pPr>
        <w:pBdr>
          <w:bottom w:val="single" w:color="1B3580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000"/>
        <w:gridCol w:w="1600"/>
        <w:gridCol w:w="5520"/>
      </w:tblGrid>
      <w:tr>
        <w:tc>
          <w:tcPr>
            <w:tcW w:type="dxa" w:w="24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00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552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Pendiente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Solicitante / Coordinador</w:t>
            </w:r>
          </w:p>
        </w:tc>
        <w:tc>
          <w:tcPr>
            <w:tcW w:type="dxa" w:w="5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Solicitud creada, en espera de primera revisión por el Coordinador.</w:t>
            </w:r>
          </w:p>
        </w:tc>
      </w:tr>
      <w:tr>
        <w:tc>
          <w:tcPr>
            <w:tcW w:type="dxa" w:w="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Derivada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Jefatura de Área</w:t>
            </w:r>
          </w:p>
        </w:tc>
        <w:tc>
          <w:tcPr>
            <w:tcW w:type="dxa" w:w="5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Solicitud aceptada y asignada a Jefatura para valorización de costos.</w:t>
            </w:r>
          </w:p>
        </w:tc>
      </w:tr>
      <w:tr>
        <w:tc>
          <w:tcPr>
            <w:tcW w:type="dxa" w:w="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Valorizada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Gerente</w:t>
            </w:r>
          </w:p>
        </w:tc>
        <w:tc>
          <w:tcPr>
            <w:tcW w:type="dxa" w:w="5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Costos ingresados. En espera de autorización gerencial.</w:t>
            </w:r>
          </w:p>
        </w:tc>
      </w:tr>
      <w:tr>
        <w:tc>
          <w:tcPr>
            <w:tcW w:type="dxa" w:w="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PendienteCodigo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5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Gerencia autorizó. Solicitante debe ingresar número API o SIM.</w:t>
            </w:r>
          </w:p>
        </w:tc>
      </w:tr>
      <w:tr>
        <w:tc>
          <w:tcPr>
            <w:tcW w:type="dxa" w:w="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PendienteEjecucion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Coordinador</w:t>
            </w:r>
          </w:p>
        </w:tc>
        <w:tc>
          <w:tcPr>
            <w:tcW w:type="dxa" w:w="5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Código ingresado. Coordinador asigna ejecutor para trabajo en terreno.</w:t>
            </w:r>
          </w:p>
        </w:tc>
      </w:tr>
      <w:tr>
        <w:tc>
          <w:tcPr>
            <w:tcW w:type="dxa" w:w="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EnEjecucion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Ejecutor (Jefatura)</w:t>
            </w:r>
          </w:p>
        </w:tc>
        <w:tc>
          <w:tcPr>
            <w:tcW w:type="dxa" w:w="5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Trabajo en progreso por el técnico ejecutor asignado.</w:t>
            </w:r>
          </w:p>
        </w:tc>
      </w:tr>
      <w:tr>
        <w:tc>
          <w:tcPr>
            <w:tcW w:type="dxa" w:w="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PendienteRevision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Coordinador</w:t>
            </w:r>
          </w:p>
        </w:tc>
        <w:tc>
          <w:tcPr>
            <w:tcW w:type="dxa" w:w="5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Trabajo terminado. Coordinador realiza revisión final de conformidad.</w:t>
            </w:r>
          </w:p>
        </w:tc>
      </w:tr>
      <w:tr>
        <w:tc>
          <w:tcPr>
            <w:tcW w:type="dxa" w:w="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Completada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5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Solicitud cerrada y archivada. Proceso finalizado exitosamente.</w:t>
            </w:r>
          </w:p>
        </w:tc>
      </w:tr>
      <w:tr>
        <w:tc>
          <w:tcPr>
            <w:tcW w:type="dxa" w:w="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Rechazada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Coordinador / Gerente</w:t>
            </w:r>
          </w:p>
        </w:tc>
        <w:tc>
          <w:tcPr>
            <w:tcW w:type="dxa" w:w="5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Solicitud rechazada en primera revisión o en autorización gerencial.</w:t>
            </w:r>
          </w:p>
        </w:tc>
      </w:tr>
      <w:tr>
        <w:tc>
          <w:tcPr>
            <w:tcW w:type="dxa" w:w="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Postergada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Gerente</w:t>
            </w:r>
          </w:p>
        </w:tc>
        <w:tc>
          <w:tcPr>
            <w:tcW w:type="dxa" w:w="5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Solicitud diferida por decisión gerencial. Puede reactivarse.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Open Sans" w:cs="Open Sans" w:eastAsia="Open Sans" w:hAnsi="Open Sans"/>
          <w:b/>
          <w:bCs/>
          <w:color w:val="1B3580"/>
          <w:sz w:val="28"/>
          <w:szCs w:val="28"/>
        </w:rPr>
        <w:t xml:space="preserve">9. Indicadores y Semáforo de Tiempos</w:t>
      </w:r>
    </w:p>
    <w:p>
      <w:pPr>
        <w:pBdr>
          <w:bottom w:val="single" w:color="F07B1B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El portal incorpora un sistema de Semáforo de Tiempos visible para el Coordinador en la pestaña "⏱ Tiempos", que alerta sobre el estado de avance respecto al tiempo estimado de ejecución.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4960"/>
      </w:tblGrid>
      <w:tr>
        <w:tc>
          <w:tcPr>
            <w:tcW w:type="dxa" w:w="80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Ícono</w:t>
            </w:r>
          </w:p>
        </w:tc>
        <w:tc>
          <w:tcPr>
            <w:tcW w:type="dxa" w:w="180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96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Acción recomendada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sz w:val="24"/>
                <w:szCs w:val="24"/>
              </w:rPr>
              <w:t xml:space="preserve">🟢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5803D"/>
                <w:sz w:val="20"/>
                <w:szCs w:val="20"/>
              </w:rPr>
              <w:t xml:space="preserve">A tiempo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15803D"/>
                <w:sz w:val="20"/>
                <w:szCs w:val="20"/>
              </w:rPr>
              <w:t xml:space="preserve">0% – 50% del tiempo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Sin acción requerida. Proceso dentro de plazo.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sz w:val="24"/>
                <w:szCs w:val="24"/>
              </w:rPr>
              <w:t xml:space="preserve">🟡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92400E"/>
                <w:sz w:val="20"/>
                <w:szCs w:val="20"/>
              </w:rPr>
              <w:t xml:space="preserve">En riesgo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92400E"/>
                <w:sz w:val="20"/>
                <w:szCs w:val="20"/>
              </w:rPr>
              <w:t xml:space="preserve">51% – 90% del tiempo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Monitorear. Alertar al ejecutor si es necesario.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sz w:val="24"/>
                <w:szCs w:val="24"/>
              </w:rPr>
              <w:t xml:space="preserve">🟠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C2410C"/>
                <w:sz w:val="20"/>
                <w:szCs w:val="20"/>
              </w:rPr>
              <w:t xml:space="preserve">Límite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C2410C"/>
                <w:sz w:val="20"/>
                <w:szCs w:val="20"/>
              </w:rPr>
              <w:t xml:space="preserve">91% – 100% del tiempo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Contactar al ejecutor para asegurar el cierre.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sz w:val="24"/>
                <w:szCs w:val="24"/>
              </w:rPr>
              <w:t xml:space="preserve">🔴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B91C1C"/>
                <w:sz w:val="20"/>
                <w:szCs w:val="20"/>
              </w:rPr>
              <w:t xml:space="preserve">Vencido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B91C1C"/>
                <w:sz w:val="20"/>
                <w:szCs w:val="20"/>
              </w:rPr>
              <w:t xml:space="preserve">Más del 100% del tiempo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20"/>
                <w:szCs w:val="20"/>
              </w:rPr>
              <w:t xml:space="preserve">Intervención inmediata del Coordinador.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Open Sans" w:cs="Open Sans" w:eastAsia="Open Sans" w:hAnsi="Open Sans"/>
          <w:b/>
          <w:bCs/>
          <w:color w:val="1B3580"/>
          <w:sz w:val="28"/>
          <w:szCs w:val="28"/>
        </w:rPr>
        <w:t xml:space="preserve">10. Roles de Acceso al Sistema</w:t>
      </w:r>
    </w:p>
    <w:p>
      <w:pPr>
        <w:pBdr>
          <w:bottom w:val="single" w:color="F07B1B" w:sz="12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Rol en el sistema</w:t>
            </w:r>
          </w:p>
        </w:tc>
        <w:tc>
          <w:tcPr>
            <w:tcW w:type="dxa" w:w="240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Usuario(s)</w:t>
            </w:r>
          </w:p>
        </w:tc>
        <w:tc>
          <w:tcPr>
            <w:tcW w:type="dxa" w:w="4960"/>
            <w:tcBorders>
              <w:top w:val="single" w:color="1B3580" w:sz="4"/>
              <w:left w:val="single" w:color="1B3580" w:sz="4"/>
              <w:bottom w:val="single" w:color="1B3580" w:sz="4"/>
              <w:right w:val="single" w:color="1B3580" w:sz="4"/>
            </w:tcBorders>
            <w:shd w:fill="1B35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Acceso / Pestañas disponibles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user (Solicitante)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Personal operativo de planta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Inicio · Nueva Solicitud · Mis Solicitudes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jefe_area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Jefes de área de producción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Inicio · Mis Solicitudes · Revisión de Área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mantenimiento
(Coordinador)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fescobara@sopraval.cl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Dashboard · Gestión de Costos · Revisión · Activables · Tiempos · Gestión Visual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mantenimiento
(Jefatura)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cmadridp / gzapata
ccrojas / cllopez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Dashboard · Gestión de Costos · Revisión · Activables · Gestión Visual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gerente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Gerencia de Planta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Mi Dashboard · Autorización · Revisión · Gestión Visual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supervisor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Supervisores de área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Inicio · Revisión · Gestión Visual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B3580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Administrador del sistema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Open Sans" w:cs="Open Sans" w:eastAsia="Open Sans" w:hAnsi="Open Sans"/>
                <w:color w:val="374151"/>
                <w:sz w:val="19"/>
                <w:szCs w:val="19"/>
              </w:rPr>
              <w:t xml:space="preserve">Revisión · Gestión Visual · KPIs · Gestión de Usuarios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80" w:before="360"/>
      </w:pPr>
      <w:r>
        <w:rPr>
          <w:rFonts w:ascii="Open Sans" w:cs="Open Sans" w:eastAsia="Open Sans" w:hAnsi="Open Sans"/>
          <w:b/>
          <w:bCs/>
          <w:color w:val="1B3580"/>
          <w:sz w:val="28"/>
          <w:szCs w:val="28"/>
        </w:rPr>
        <w:t xml:space="preserve">11. Disposiciones Finales</w:t>
      </w:r>
    </w:p>
    <w:p>
      <w:pPr>
        <w:pBdr>
          <w:bottom w:val="single" w:color="F07B1B" w:sz="12" w:space="1"/>
        </w:pBd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El presente documento debe ser revisado anualmente o ante cambios relevantes en el proceso.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Toda modificación al proceso debe ser aprobada por el Jefe de Infraestructura y registrada en la tabla de control de versiones.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El portal es el único canal oficial para la gestión de requerimientos de infraestructura en Planta Sopraval.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color w:val="374151"/>
          <w:sz w:val="22"/>
          <w:szCs w:val="22"/>
        </w:rPr>
        <w:t xml:space="preserve">En caso de incidencias o soporte técnico, contactar al administrador del sistema.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rFonts w:ascii="Open Sans" w:cs="Open Sans" w:eastAsia="Open Sans" w:hAnsi="Open Sans"/>
          <w:color w:val="9CA3AF"/>
          <w:sz w:val="20"/>
          <w:szCs w:val="20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7B1B" w:sz="6" w:space="4"/>
      </w:pBdr>
      <w:tabs>
        <w:tab w:val="right" w:pos="9026"/>
      </w:tabs>
      <w:spacing w:before="60"/>
    </w:pPr>
    <w:r>
      <w:rPr>
        <w:rFonts w:ascii="Open Sans" w:cs="Open Sans" w:eastAsia="Open Sans" w:hAnsi="Open Sans"/>
        <w:color w:val="374151"/>
        <w:sz w:val="16"/>
        <w:szCs w:val="16"/>
      </w:rPr>
      <w:t xml:space="preserve">Documento Oficial de Proceso  |  Uso Interno</w:t>
    </w:r>
    <w:r>
      <w:rPr>
        <w:rFonts w:ascii="Open Sans" w:cs="Open Sans" w:eastAsia="Open Sans" w:hAnsi="Open Sans"/>
        <w:color w:val="374151"/>
        <w:sz w:val="16"/>
        <w:szCs w:val="16"/>
      </w:rPr>
      <w:t xml:space="preserve">	Página </w:t>
    </w:r>
    <w:r>
      <w:rPr>
        <w:rFonts w:ascii="Open Sans" w:cs="Open Sans" w:eastAsia="Open Sans" w:hAnsi="Open Sans"/>
        <w:color w:val="1B35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374151"/>
        <w:sz w:val="16"/>
        <w:szCs w:val="16"/>
      </w:rPr>
      <w:t xml:space="preserve"> de </w:t>
    </w:r>
    <w:r>
      <w:rPr>
        <w:rFonts w:ascii="Open Sans" w:cs="Open Sans" w:eastAsia="Open Sans" w:hAnsi="Open Sans"/>
        <w:color w:val="1B35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7B1B" w:sz="6" w:space="4"/>
      </w:pBdr>
      <w:tabs>
        <w:tab w:val="right" w:pos="9026"/>
      </w:tabs>
      <w:spacing w:after="60"/>
    </w:pPr>
    <w:r>
      <w:rPr>
        <w:rFonts w:ascii="Open Sans" w:cs="Open Sans" w:eastAsia="Open Sans" w:hAnsi="Open Sans"/>
        <w:b/>
        <w:bCs/>
        <w:color w:val="1B3580"/>
        <w:sz w:val="18"/>
        <w:szCs w:val="18"/>
      </w:rPr>
      <w:t xml:space="preserve">Sopraval / Agrosuper</w:t>
    </w:r>
    <w:r>
      <w:rPr>
        <w:rFonts w:ascii="Open Sans" w:cs="Open Sans" w:eastAsia="Open Sans" w:hAnsi="Open Sans"/>
        <w:color w:val="374151"/>
        <w:sz w:val="18"/>
        <w:szCs w:val="18"/>
      </w:rPr>
      <w:t xml:space="preserve">	Portal de Requerimientos de Infraestructura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Open Sans" w:cs="Open Sans" w:eastAsia="Open Sans" w:hAnsi="Open Sans"/>
      <w:b/>
      <w:bCs/>
      <w:color w:val="1B358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Open Sans" w:cs="Open Sans" w:eastAsia="Open Sans" w:hAnsi="Open Sans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2026-06-10T21:16:37.286Z</dcterms:created>
  <dcterms:modified xsi:type="dcterms:W3CDTF">2026-06-10T21:16:37.287Z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