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</w:t>
      </w:r>
    </w:p>
    <w:p>
      <w:pPr>
        <w:pStyle w:val="Heading1"/>
      </w:pPr>
      <w:r>
        <w:t>Tree and site details</w:t>
      </w:r>
    </w:p>
    <w:p>
      <w:r>
        <w:rPr>
          <w:b/>
        </w:rPr>
        <w:t xml:space="preserve">Species: </w:t>
      </w:r>
      <w:r>
        <w:t>Eucalypt – High Strength (ironbark / spotted gum type)</w:t>
      </w:r>
    </w:p>
    <w:p>
      <w:r>
        <w:rPr>
          <w:b/>
        </w:rPr>
        <w:t xml:space="preserve">Location: </w:t>
      </w:r>
      <w:r>
        <w:t>home</w:t>
      </w:r>
    </w:p>
    <w:p>
      <w:pPr>
        <w:pStyle w:val="Heading1"/>
      </w:pPr>
      <w:r>
        <w:t>Key inputs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DBH (cm)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Height (m)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Crown diameter (m)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Cavity inner diameter (cm)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Design wind speed (m/s)</w:t>
            </w:r>
          </w:p>
        </w:tc>
        <w:tc>
          <w:tcPr>
            <w:tcW w:type="dxa" w:w="4320"/>
          </w:tcPr>
          <w:p>
            <w:r>
              <w:t>55.0</w:t>
            </w:r>
          </w:p>
        </w:tc>
      </w:tr>
      <w:tr>
        <w:tc>
          <w:tcPr>
            <w:tcW w:type="dxa" w:w="4320"/>
          </w:tcPr>
          <w:p>
            <w:r>
              <w:t>Site factor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Observed structural defects / decay indicators</w:t>
      </w:r>
    </w:p>
    <w:p>
      <w:pPr>
        <w:pStyle w:val="ListBullet"/>
      </w:pPr>
      <w:r>
        <w:t>Bracket fungi on stem or base</w:t>
      </w:r>
    </w:p>
    <w:p>
      <w:pPr>
        <w:pStyle w:val="ListBullet"/>
      </w:pPr>
      <w:r>
        <w:t>Cavity with visible decay</w:t>
      </w:r>
    </w:p>
    <w:p>
      <w:pPr>
        <w:pStyle w:val="ListBullet"/>
      </w:pPr>
      <w:r>
        <w:t>Longitudinal cracks / shear planes</w:t>
      </w:r>
    </w:p>
    <w:p>
      <w:pPr>
        <w:pStyle w:val="ListBullet"/>
      </w:pPr>
      <w:r>
        <w:t>Basal/root-plate decay symptoms</w:t>
      </w:r>
    </w:p>
    <w:p>
      <w:pPr>
        <w:pStyle w:val="ListBullet"/>
      </w:pPr>
      <w:r>
        <w:t>Included bark / compromised unions</w:t>
      </w:r>
    </w:p>
    <w:p>
      <w:r>
        <w:rPr>
          <w:b/>
        </w:rPr>
        <w:t xml:space="preserve">Defect strength factor k_defect: </w:t>
      </w:r>
      <w:r>
        <w:t>0.41</w:t>
      </w:r>
    </w:p>
    <w:p>
      <w:pPr>
        <w:pStyle w:val="Heading1"/>
      </w:pPr>
      <w:r>
        <w:t>Numerical results</w:t>
      </w:r>
    </w:p>
    <w:p>
      <w:r>
        <w:rPr>
          <w:b/>
        </w:rPr>
        <w:t xml:space="preserve">Safety factor at design wind speed (SF): </w:t>
      </w:r>
      <w:r>
        <w:t>0.20</w:t>
      </w:r>
    </w:p>
    <w:p>
      <w:r>
        <w:rPr>
          <w:b/>
        </w:rPr>
        <w:t xml:space="preserve">Bending stress at governing section: </w:t>
      </w:r>
      <w:r>
        <w:t>106.13 MPa</w:t>
      </w:r>
    </w:p>
    <w:p>
      <w:r>
        <w:rPr>
          <w:b/>
        </w:rPr>
        <w:t xml:space="preserve">Estimated wind-to-failure speed (SF ≈ 1): </w:t>
      </w:r>
      <w:r>
        <w:t>24.3 m/s</w:t>
      </w:r>
    </w:p>
    <w:p>
      <w:pPr>
        <w:pStyle w:val="Heading1"/>
      </w:pPr>
      <w:r>
        <w:t>Decay / residual wall</w:t>
      </w:r>
    </w:p>
    <w:p>
      <w:r>
        <w:t>Current residual wall (from DBH and cavity): 98% of diameter.</w:t>
      </w:r>
    </w:p>
    <w:p>
      <w:pPr>
        <w:pStyle w:val="Heading1"/>
      </w:pPr>
      <w:r>
        <w:t>Graphs</w:t>
      </w:r>
    </w:p>
    <w:p>
      <w:r>
        <w:t>Figure 1 – Safety factor versus wind speed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f_vs_wi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– Safety factor versus residual wall thickness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f_vs_residual_w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– Safety factor versus crown reduction (%)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f_vs_crown_re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