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FAB3A" w14:textId="20B58941" w:rsidR="0070328D" w:rsidRPr="0070328D" w:rsidRDefault="0070328D" w:rsidP="0070328D">
      <w:r>
        <w:t xml:space="preserve">News fragment: </w:t>
      </w:r>
      <w:r w:rsidRPr="0070328D">
        <w:t>Independent acts averaged 22% higher monthly listener growth rates than major label acts in electronic and indie pop.</w:t>
      </w:r>
    </w:p>
    <w:p w14:paraId="31C53BA8" w14:textId="77777777" w:rsidR="0070328D" w:rsidRDefault="0070328D"/>
    <w:p w14:paraId="6522136F" w14:textId="768E5B6B" w:rsidR="000876D4" w:rsidRDefault="00690080">
      <w:r>
        <w:t xml:space="preserve">ChatGPT – Prompt: </w:t>
      </w:r>
      <w:r w:rsidRPr="00690080">
        <w:t>generate a report (500-700 words) from this piece of news</w:t>
      </w:r>
    </w:p>
    <w:p w14:paraId="382A8A61" w14:textId="21178027" w:rsidR="00690080" w:rsidRDefault="00690080">
      <w:r w:rsidRPr="00690080">
        <w:t>Data trends further reinforce the momentum behind independent artists. In the electronic and indie pop segments</w:t>
      </w:r>
      <w:r w:rsidRPr="0070328D">
        <w:rPr>
          <w:color w:val="EE0000"/>
        </w:rPr>
        <w:t>—two genres strongly associated with Berlin’s music identity—</w:t>
      </w:r>
      <w:r w:rsidRPr="00690080">
        <w:t>independent acts recorded average monthly listener growth rates that were 22% higher than those of major label counterparts. This differential suggests that independent artists are not only gaining visibility but also converting that exposure into sustained audience expansion.</w:t>
      </w:r>
    </w:p>
    <w:p w14:paraId="7D1C9500" w14:textId="77777777" w:rsidR="00690080" w:rsidRDefault="00690080"/>
    <w:p w14:paraId="5EA9C957" w14:textId="71EACACB" w:rsidR="00690080" w:rsidRDefault="00690080">
      <w:r>
        <w:t>Our tool – Temperature: 0,1, audience: executive, style: minimalist</w:t>
      </w:r>
      <w:r w:rsidR="0070328D">
        <w:t>, depth: standard (500-700 words)</w:t>
      </w:r>
      <w:r>
        <w:t xml:space="preserve"> </w:t>
      </w:r>
      <w:r>
        <w:sym w:font="Wingdings" w:char="F0E0"/>
      </w:r>
      <w:r>
        <w:t xml:space="preserve"> keywords: </w:t>
      </w:r>
      <w:r w:rsidRPr="00690080">
        <w:t>concise, sharp, high-signal</w:t>
      </w:r>
    </w:p>
    <w:p w14:paraId="68F500A8" w14:textId="2CDCC92D" w:rsidR="00690080" w:rsidRDefault="00690080">
      <w:r w:rsidRPr="00690080">
        <w:t>Notably, independent acts are experiencing an average monthly listener growth rate that is 22% higher than their major label counterparts in the electronic and indie pop genres. This trend suggests a shift in listener preferences towards more diverse and unique musical offerings.</w:t>
      </w:r>
    </w:p>
    <w:p w14:paraId="6DB36D9D" w14:textId="77777777" w:rsidR="0070328D" w:rsidRDefault="0070328D"/>
    <w:p w14:paraId="2EAD410A" w14:textId="02E60489" w:rsidR="0070328D" w:rsidRDefault="0070328D" w:rsidP="0070328D">
      <w:r>
        <w:t>Our tool – Temperature: 0,</w:t>
      </w:r>
      <w:r>
        <w:t>5</w:t>
      </w:r>
      <w:r>
        <w:t xml:space="preserve">, audience: </w:t>
      </w:r>
      <w:r>
        <w:t>casual music fan</w:t>
      </w:r>
      <w:r>
        <w:t xml:space="preserve">, style: </w:t>
      </w:r>
      <w:r>
        <w:t xml:space="preserve">storytelling, </w:t>
      </w:r>
      <w:r>
        <w:t xml:space="preserve">depth: standard (500-700 words) </w:t>
      </w:r>
      <w:r>
        <w:sym w:font="Wingdings" w:char="F0E0"/>
      </w:r>
      <w:r>
        <w:t xml:space="preserve"> </w:t>
      </w:r>
      <w:r w:rsidRPr="0070328D">
        <w:t>emotional, narrative-driven, engaging</w:t>
      </w:r>
    </w:p>
    <w:p w14:paraId="4D577195" w14:textId="2A5EFD1B" w:rsidR="0070328D" w:rsidRDefault="0070328D">
      <w:r w:rsidRPr="0070328D">
        <w:t>Diving deeper into the numbers, independent acts in the electronic and indie pop genres are experiencing an astounding 22% higher monthly listener growth rate compared to their major label counterparts. This statistic is not just a number; it reflects a profound shift in listener preferences. Fans are increasingly drawn to the authenticity and originality that independent artists offer, and this trend is shaping the future of the music industry.</w:t>
      </w:r>
    </w:p>
    <w:p w14:paraId="374B80F7" w14:textId="24B0B035" w:rsidR="0070328D" w:rsidRDefault="0070328D">
      <w:r>
        <w:t>Temperature: 0,</w:t>
      </w:r>
      <w:r>
        <w:t>7</w:t>
      </w:r>
    </w:p>
    <w:p w14:paraId="37EC2581" w14:textId="3CD7A115" w:rsidR="0070328D" w:rsidRDefault="0070328D">
      <w:r w:rsidRPr="0070328D">
        <w:t>In a broader context, the data tells a compelling story: independent acts in electronic and indie pop genres are experiencing monthly listener growth rates that are, on average, 22% higher than their major label counterparts. This disparity highlights a critical insight; listeners are increasingly drawn to the raw, unfiltered creativity that independent artists offer, suggesting that the market is ripe for disruption.</w:t>
      </w:r>
    </w:p>
    <w:p w14:paraId="61F2D55E" w14:textId="77777777" w:rsidR="006728C7" w:rsidRDefault="006728C7"/>
    <w:p w14:paraId="6EB280D0" w14:textId="77777777" w:rsidR="006728C7" w:rsidRDefault="006728C7">
      <w:pPr>
        <w:spacing w:before="0" w:after="160" w:line="259" w:lineRule="auto"/>
        <w:jc w:val="left"/>
      </w:pPr>
      <w:r>
        <w:br w:type="page"/>
      </w:r>
    </w:p>
    <w:p w14:paraId="0F625470" w14:textId="54D713CE" w:rsidR="006728C7" w:rsidRDefault="006728C7">
      <w:r>
        <w:lastRenderedPageBreak/>
        <w:t>Claude’s reply (ChatGPT vs. our last version):</w:t>
      </w:r>
    </w:p>
    <w:p w14:paraId="26D2C252" w14:textId="77777777" w:rsidR="006728C7" w:rsidRPr="006728C7" w:rsidRDefault="006728C7" w:rsidP="006728C7">
      <w:r w:rsidRPr="006728C7">
        <w:t>Here's a breakdown of how these two paragraphs differ:</w:t>
      </w:r>
    </w:p>
    <w:p w14:paraId="7E7578C3" w14:textId="77777777" w:rsidR="006728C7" w:rsidRPr="006728C7" w:rsidRDefault="006728C7" w:rsidP="006728C7">
      <w:pPr>
        <w:rPr>
          <w:lang w:val="es-ES"/>
        </w:rPr>
      </w:pPr>
      <w:r w:rsidRPr="006728C7">
        <w:rPr>
          <w:lang w:val="es-ES"/>
        </w:rPr>
        <w:pict w14:anchorId="1DC672BA">
          <v:rect id="_x0000_i1043" style="width:0;height:1.5pt" o:hralign="center" o:hrstd="t" o:hr="t" fillcolor="#a0a0a0" stroked="f"/>
        </w:pict>
      </w:r>
    </w:p>
    <w:p w14:paraId="7BA6BAC9" w14:textId="681A22A4" w:rsidR="006728C7" w:rsidRPr="006728C7" w:rsidRDefault="006728C7" w:rsidP="006728C7">
      <w:r w:rsidRPr="006728C7">
        <w:rPr>
          <w:b/>
          <w:bCs/>
        </w:rPr>
        <w:t>Paragraph 1</w:t>
      </w:r>
      <w:r w:rsidRPr="006728C7">
        <w:t xml:space="preserve"> reads like a </w:t>
      </w:r>
      <w:r w:rsidRPr="006728C7">
        <w:rPr>
          <w:b/>
          <w:bCs/>
        </w:rPr>
        <w:t>business or industry report</w:t>
      </w:r>
      <w:r w:rsidRPr="006728C7">
        <w:t xml:space="preserve"> — possibly a market analysis, a white paper, or an investor briefing. The language is measured and precise: "reinforce the momentum," "differential suggests," "sustained audience expansion." It avoids emotional coloring and lets the data speak for itself, framing the 22% gap as an analytical observation rather than a call to action. The tone is </w:t>
      </w:r>
      <w:r w:rsidRPr="006728C7">
        <w:rPr>
          <w:b/>
          <w:bCs/>
        </w:rPr>
        <w:t>neutral, clinical, and authoritative</w:t>
      </w:r>
      <w:r w:rsidRPr="006728C7">
        <w:t>.</w:t>
      </w:r>
    </w:p>
    <w:p w14:paraId="4658AB3A" w14:textId="77777777" w:rsidR="006728C7" w:rsidRPr="006728C7" w:rsidRDefault="006728C7" w:rsidP="006728C7">
      <w:r w:rsidRPr="006728C7">
        <w:t xml:space="preserve">Its likely target audience is </w:t>
      </w:r>
      <w:r w:rsidRPr="006728C7">
        <w:rPr>
          <w:b/>
          <w:bCs/>
        </w:rPr>
        <w:t>industry professionals</w:t>
      </w:r>
      <w:r w:rsidRPr="006728C7">
        <w:t xml:space="preserve"> — label executives, music business analysts, investors, or researchers who want to draw their own conclusions from data.</w:t>
      </w:r>
    </w:p>
    <w:p w14:paraId="52ADB3CD" w14:textId="77777777" w:rsidR="006728C7" w:rsidRPr="006728C7" w:rsidRDefault="006728C7" w:rsidP="006728C7">
      <w:pPr>
        <w:rPr>
          <w:lang w:val="es-ES"/>
        </w:rPr>
      </w:pPr>
      <w:r w:rsidRPr="006728C7">
        <w:rPr>
          <w:lang w:val="es-ES"/>
        </w:rPr>
        <w:pict w14:anchorId="612C074F">
          <v:rect id="_x0000_i1044" style="width:0;height:1.5pt" o:hralign="center" o:hrstd="t" o:hr="t" fillcolor="#a0a0a0" stroked="f"/>
        </w:pict>
      </w:r>
    </w:p>
    <w:p w14:paraId="6CD7903E" w14:textId="77777777" w:rsidR="006728C7" w:rsidRPr="006728C7" w:rsidRDefault="006728C7" w:rsidP="006728C7">
      <w:r w:rsidRPr="006728C7">
        <w:rPr>
          <w:b/>
          <w:bCs/>
        </w:rPr>
        <w:t>Paragraph 2</w:t>
      </w:r>
      <w:r w:rsidRPr="006728C7">
        <w:t xml:space="preserve"> reads more like </w:t>
      </w:r>
      <w:r w:rsidRPr="006728C7">
        <w:rPr>
          <w:b/>
          <w:bCs/>
        </w:rPr>
        <w:t>editorial journalism or a pitch deck</w:t>
      </w:r>
      <w:r w:rsidRPr="006728C7">
        <w:t xml:space="preserve"> — possibly a music blog, a startup's investor narrative, or a think-piece. Phrases like "compelling story," "critical insight," "raw, unfiltered creativity," and "ripe for disruption" are designed to excite and persuade rather than inform. The same 22% figure is framed not as a neutral differential but as evidence of a cultural shift. The tone is </w:t>
      </w:r>
      <w:r w:rsidRPr="006728C7">
        <w:rPr>
          <w:b/>
          <w:bCs/>
        </w:rPr>
        <w:t>enthusiastic, opinionated, and persuasive</w:t>
      </w:r>
      <w:r w:rsidRPr="006728C7">
        <w:t>.</w:t>
      </w:r>
    </w:p>
    <w:p w14:paraId="24C59362" w14:textId="77777777" w:rsidR="006728C7" w:rsidRPr="006728C7" w:rsidRDefault="006728C7" w:rsidP="006728C7">
      <w:r w:rsidRPr="006728C7">
        <w:t xml:space="preserve">Its likely target audience is </w:t>
      </w:r>
      <w:r w:rsidRPr="006728C7">
        <w:rPr>
          <w:b/>
          <w:bCs/>
        </w:rPr>
        <w:t>a general or startup-oriented audience</w:t>
      </w:r>
      <w:r w:rsidRPr="006728C7">
        <w:t xml:space="preserve"> — independent artists themselves, fans of the underdog narrative, or entrepreneurs looking for validation that the old gatekeepers are losing their grip.</w:t>
      </w:r>
    </w:p>
    <w:p w14:paraId="4AB3EFFE" w14:textId="77777777" w:rsidR="006728C7" w:rsidRPr="006728C7" w:rsidRDefault="006728C7" w:rsidP="006728C7">
      <w:pPr>
        <w:rPr>
          <w:lang w:val="es-ES"/>
        </w:rPr>
      </w:pPr>
      <w:r w:rsidRPr="006728C7">
        <w:rPr>
          <w:lang w:val="es-ES"/>
        </w:rPr>
        <w:pict w14:anchorId="71215550">
          <v:rect id="_x0000_i1045" style="width:0;height:1.5pt" o:hralign="center" o:hrstd="t" o:hr="t" fillcolor="#a0a0a0" stroked="f"/>
        </w:pict>
      </w:r>
    </w:p>
    <w:p w14:paraId="740AB17F" w14:textId="77777777" w:rsidR="006728C7" w:rsidRPr="006728C7" w:rsidRDefault="006728C7" w:rsidP="006728C7">
      <w:r w:rsidRPr="006728C7">
        <w:t>The key difference in a nutshell: Paragraph 1 reports a finding, while Paragraph 2 sells a story. Both use the exact same data point, but one trusts the reader to interpret it, and the other tells them what to feel about it.</w:t>
      </w:r>
    </w:p>
    <w:p w14:paraId="4492E0E0" w14:textId="77777777" w:rsidR="006728C7" w:rsidRDefault="006728C7"/>
    <w:sectPr w:rsidR="006728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83C5B"/>
    <w:multiLevelType w:val="multilevel"/>
    <w:tmpl w:val="39169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7F76B3B"/>
    <w:multiLevelType w:val="multilevel"/>
    <w:tmpl w:val="E85E0E2C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9DA22A6"/>
    <w:multiLevelType w:val="hybridMultilevel"/>
    <w:tmpl w:val="A7C82FD6"/>
    <w:lvl w:ilvl="0" w:tplc="802E04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126473"/>
    <w:multiLevelType w:val="hybridMultilevel"/>
    <w:tmpl w:val="9B84A8F2"/>
    <w:lvl w:ilvl="0" w:tplc="E570B5BC">
      <w:start w:val="1"/>
      <w:numFmt w:val="bullet"/>
      <w:pStyle w:val="Prrafodelista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6BC4A8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F6BC4A82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46678206">
    <w:abstractNumId w:val="1"/>
  </w:num>
  <w:num w:numId="2" w16cid:durableId="414741168">
    <w:abstractNumId w:val="1"/>
  </w:num>
  <w:num w:numId="3" w16cid:durableId="1776436647">
    <w:abstractNumId w:val="1"/>
  </w:num>
  <w:num w:numId="4" w16cid:durableId="1118185685">
    <w:abstractNumId w:val="1"/>
  </w:num>
  <w:num w:numId="5" w16cid:durableId="2028293708">
    <w:abstractNumId w:val="1"/>
  </w:num>
  <w:num w:numId="6" w16cid:durableId="1056464392">
    <w:abstractNumId w:val="1"/>
  </w:num>
  <w:num w:numId="7" w16cid:durableId="1655720864">
    <w:abstractNumId w:val="1"/>
  </w:num>
  <w:num w:numId="8" w16cid:durableId="1729303389">
    <w:abstractNumId w:val="1"/>
  </w:num>
  <w:num w:numId="9" w16cid:durableId="1124035108">
    <w:abstractNumId w:val="0"/>
  </w:num>
  <w:num w:numId="10" w16cid:durableId="324357801">
    <w:abstractNumId w:val="1"/>
  </w:num>
  <w:num w:numId="11" w16cid:durableId="558397359">
    <w:abstractNumId w:val="1"/>
  </w:num>
  <w:num w:numId="12" w16cid:durableId="873077317">
    <w:abstractNumId w:val="1"/>
  </w:num>
  <w:num w:numId="13" w16cid:durableId="2103531764">
    <w:abstractNumId w:val="3"/>
  </w:num>
  <w:num w:numId="14" w16cid:durableId="1708605991">
    <w:abstractNumId w:val="2"/>
  </w:num>
  <w:num w:numId="15" w16cid:durableId="672338514">
    <w:abstractNumId w:val="3"/>
  </w:num>
  <w:num w:numId="16" w16cid:durableId="1239711421">
    <w:abstractNumId w:val="3"/>
  </w:num>
  <w:num w:numId="17" w16cid:durableId="950094053">
    <w:abstractNumId w:val="1"/>
  </w:num>
  <w:num w:numId="18" w16cid:durableId="1185948170">
    <w:abstractNumId w:val="1"/>
  </w:num>
  <w:num w:numId="19" w16cid:durableId="1758865405">
    <w:abstractNumId w:val="1"/>
  </w:num>
  <w:num w:numId="20" w16cid:durableId="1865483071">
    <w:abstractNumId w:val="3"/>
  </w:num>
  <w:num w:numId="21" w16cid:durableId="2064406815">
    <w:abstractNumId w:val="1"/>
  </w:num>
  <w:num w:numId="22" w16cid:durableId="842940750">
    <w:abstractNumId w:val="3"/>
  </w:num>
  <w:num w:numId="23" w16cid:durableId="56904463">
    <w:abstractNumId w:val="3"/>
  </w:num>
  <w:num w:numId="24" w16cid:durableId="543638888">
    <w:abstractNumId w:val="1"/>
  </w:num>
  <w:num w:numId="25" w16cid:durableId="1702365373">
    <w:abstractNumId w:val="1"/>
  </w:num>
  <w:num w:numId="26" w16cid:durableId="2031177857">
    <w:abstractNumId w:val="1"/>
  </w:num>
  <w:num w:numId="27" w16cid:durableId="1809937450">
    <w:abstractNumId w:val="1"/>
  </w:num>
  <w:num w:numId="28" w16cid:durableId="191000477">
    <w:abstractNumId w:val="1"/>
  </w:num>
  <w:num w:numId="29" w16cid:durableId="1621523054">
    <w:abstractNumId w:val="1"/>
  </w:num>
  <w:num w:numId="30" w16cid:durableId="33360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080"/>
    <w:rsid w:val="00000E93"/>
    <w:rsid w:val="000567F9"/>
    <w:rsid w:val="000876D4"/>
    <w:rsid w:val="00195AFD"/>
    <w:rsid w:val="00363DEE"/>
    <w:rsid w:val="00457BAD"/>
    <w:rsid w:val="004C7E53"/>
    <w:rsid w:val="005C0415"/>
    <w:rsid w:val="005D1163"/>
    <w:rsid w:val="006728C7"/>
    <w:rsid w:val="00690080"/>
    <w:rsid w:val="00695DDD"/>
    <w:rsid w:val="0070328D"/>
    <w:rsid w:val="007E45B2"/>
    <w:rsid w:val="00846A12"/>
    <w:rsid w:val="00931EBB"/>
    <w:rsid w:val="00990152"/>
    <w:rsid w:val="009F1AED"/>
    <w:rsid w:val="00A03048"/>
    <w:rsid w:val="00BA1FC5"/>
    <w:rsid w:val="00DA6725"/>
    <w:rsid w:val="00E20D16"/>
    <w:rsid w:val="00E2580C"/>
    <w:rsid w:val="00EB794F"/>
    <w:rsid w:val="00F94034"/>
    <w:rsid w:val="00FB1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DDD79"/>
  <w15:chartTrackingRefBased/>
  <w15:docId w15:val="{8BD650CA-5FAD-450B-9B6D-B78908F19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28D"/>
    <w:pPr>
      <w:spacing w:before="120" w:after="120" w:line="288" w:lineRule="auto"/>
      <w:jc w:val="both"/>
    </w:pPr>
    <w:rPr>
      <w:rFonts w:ascii="Arial" w:hAnsi="Arial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FB107E"/>
    <w:pPr>
      <w:keepNext/>
      <w:keepLines/>
      <w:numPr>
        <w:numId w:val="30"/>
      </w:numPr>
      <w:spacing w:before="360" w:after="180" w:line="240" w:lineRule="auto"/>
      <w:outlineLvl w:val="0"/>
    </w:pPr>
    <w:rPr>
      <w:rFonts w:eastAsiaTheme="majorEastAsia" w:cstheme="majorBidi"/>
      <w:b/>
      <w:color w:val="276399"/>
      <w:sz w:val="28"/>
      <w:szCs w:val="32"/>
      <w:lang w:val="de-D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B107E"/>
    <w:pPr>
      <w:keepNext/>
      <w:keepLines/>
      <w:numPr>
        <w:ilvl w:val="1"/>
        <w:numId w:val="28"/>
      </w:numPr>
      <w:spacing w:before="360" w:after="180" w:line="240" w:lineRule="auto"/>
      <w:ind w:left="567" w:hanging="573"/>
      <w:outlineLvl w:val="1"/>
    </w:pPr>
    <w:rPr>
      <w:rFonts w:eastAsiaTheme="majorEastAsia" w:cstheme="majorBidi"/>
      <w:b/>
      <w:color w:val="3E89CE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B107E"/>
    <w:pPr>
      <w:keepNext/>
      <w:keepLines/>
      <w:numPr>
        <w:ilvl w:val="2"/>
        <w:numId w:val="30"/>
      </w:numPr>
      <w:spacing w:before="360" w:after="180" w:line="240" w:lineRule="auto"/>
      <w:outlineLvl w:val="2"/>
    </w:pPr>
    <w:rPr>
      <w:rFonts w:eastAsiaTheme="majorEastAsia" w:cstheme="majorBidi"/>
      <w:b/>
      <w:color w:val="73A9DB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C7E53"/>
    <w:pPr>
      <w:keepNext/>
      <w:keepLines/>
      <w:spacing w:before="240"/>
      <w:outlineLvl w:val="3"/>
    </w:pPr>
    <w:rPr>
      <w:rFonts w:eastAsiaTheme="majorEastAsia" w:cstheme="majorBidi"/>
      <w:b/>
      <w:iCs/>
      <w:lang w:val="ca-E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008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008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008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0080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0080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1EBB"/>
    <w:rPr>
      <w:rFonts w:ascii="Arial" w:eastAsiaTheme="majorEastAsia" w:hAnsi="Arial" w:cstheme="majorBidi"/>
      <w:b/>
      <w:color w:val="276399"/>
      <w:sz w:val="28"/>
      <w:szCs w:val="32"/>
      <w:lang w:val="de-DE"/>
    </w:rPr>
  </w:style>
  <w:style w:type="character" w:customStyle="1" w:styleId="Ttulo2Car">
    <w:name w:val="Título 2 Car"/>
    <w:basedOn w:val="Fuentedeprrafopredeter"/>
    <w:link w:val="Ttulo2"/>
    <w:uiPriority w:val="9"/>
    <w:rsid w:val="00FB107E"/>
    <w:rPr>
      <w:rFonts w:ascii="Arial" w:eastAsiaTheme="majorEastAsia" w:hAnsi="Arial" w:cstheme="majorBidi"/>
      <w:b/>
      <w:color w:val="3E89CE"/>
      <w:sz w:val="24"/>
      <w:szCs w:val="26"/>
      <w:lang w:val="en-US"/>
    </w:rPr>
  </w:style>
  <w:style w:type="paragraph" w:customStyle="1" w:styleId="Normal-Tabla">
    <w:name w:val="Normal - Tabla"/>
    <w:basedOn w:val="Normal"/>
    <w:qFormat/>
    <w:rsid w:val="00BA1FC5"/>
    <w:pPr>
      <w:spacing w:before="40" w:after="40"/>
    </w:pPr>
    <w:rPr>
      <w:rFonts w:cs="Arial"/>
      <w:lang w:val="ca-ES"/>
    </w:rPr>
  </w:style>
  <w:style w:type="paragraph" w:customStyle="1" w:styleId="Enunciados">
    <w:name w:val="Enunciados"/>
    <w:basedOn w:val="Normal"/>
    <w:qFormat/>
    <w:rsid w:val="00457BAD"/>
    <w:pPr>
      <w:spacing w:before="240"/>
    </w:pPr>
    <w:rPr>
      <w:b/>
      <w:lang w:val="ca-ES"/>
    </w:rPr>
  </w:style>
  <w:style w:type="character" w:customStyle="1" w:styleId="Ttulo3Car">
    <w:name w:val="Título 3 Car"/>
    <w:basedOn w:val="Fuentedeprrafopredeter"/>
    <w:link w:val="Ttulo3"/>
    <w:uiPriority w:val="9"/>
    <w:rsid w:val="00846A12"/>
    <w:rPr>
      <w:rFonts w:ascii="Arial" w:eastAsiaTheme="majorEastAsia" w:hAnsi="Arial" w:cstheme="majorBidi"/>
      <w:b/>
      <w:color w:val="73A9DB"/>
      <w:szCs w:val="24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rsid w:val="004C7E53"/>
    <w:rPr>
      <w:rFonts w:ascii="Arial" w:eastAsiaTheme="majorEastAsia" w:hAnsi="Arial" w:cstheme="majorBidi"/>
      <w:b/>
      <w:iCs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195AFD"/>
    <w:pPr>
      <w:spacing w:after="160"/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5AFD"/>
    <w:rPr>
      <w:rFonts w:ascii="Arial" w:hAnsi="Arial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1FC5"/>
    <w:pPr>
      <w:numPr>
        <w:numId w:val="23"/>
      </w:numPr>
    </w:pPr>
    <w:rPr>
      <w:lang w:val="de-DE"/>
    </w:rPr>
  </w:style>
  <w:style w:type="paragraph" w:customStyle="1" w:styleId="Estilo1">
    <w:name w:val="Estilo1"/>
    <w:basedOn w:val="Prrafodelista"/>
    <w:qFormat/>
    <w:rsid w:val="00BA1FC5"/>
    <w:pPr>
      <w:spacing w:before="40" w:after="40"/>
      <w:ind w:left="284" w:hanging="284"/>
    </w:pPr>
  </w:style>
  <w:style w:type="character" w:customStyle="1" w:styleId="Ttulo5Car">
    <w:name w:val="Título 5 Car"/>
    <w:basedOn w:val="Fuentedeprrafopredeter"/>
    <w:link w:val="Ttulo5"/>
    <w:uiPriority w:val="9"/>
    <w:semiHidden/>
    <w:rsid w:val="00690080"/>
    <w:rPr>
      <w:rFonts w:eastAsiaTheme="majorEastAsia" w:cstheme="majorBidi"/>
      <w:color w:val="2E74B5" w:themeColor="accent1" w:themeShade="B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008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0080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008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0080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690080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008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69008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008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styleId="nfasisintenso">
    <w:name w:val="Intense Emphasis"/>
    <w:basedOn w:val="Fuentedeprrafopredeter"/>
    <w:uiPriority w:val="21"/>
    <w:qFormat/>
    <w:rsid w:val="00690080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008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0080"/>
    <w:rPr>
      <w:rFonts w:ascii="Arial" w:hAnsi="Arial"/>
      <w:i/>
      <w:iCs/>
      <w:color w:val="2E74B5" w:themeColor="accent1" w:themeShade="BF"/>
      <w:lang w:val="en-US"/>
    </w:rPr>
  </w:style>
  <w:style w:type="character" w:styleId="Referenciaintensa">
    <w:name w:val="Intense Reference"/>
    <w:basedOn w:val="Fuentedeprrafopredeter"/>
    <w:uiPriority w:val="32"/>
    <w:qFormat/>
    <w:rsid w:val="0069008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577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Martínez Boto</dc:creator>
  <cp:keywords/>
  <dc:description/>
  <cp:lastModifiedBy>Carlos Martínez Boto</cp:lastModifiedBy>
  <cp:revision>2</cp:revision>
  <dcterms:created xsi:type="dcterms:W3CDTF">2026-05-06T06:14:00Z</dcterms:created>
  <dcterms:modified xsi:type="dcterms:W3CDTF">2026-05-06T08:12:00Z</dcterms:modified>
</cp:coreProperties>
</file>