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>
      <w:pPr>
        <w:pStyle w:val="Heading1"/>
        <w:spacing w:after="200"/>
        <w:jc w:val="center"/>
      </w:pPr>
      <w:r>
        <w:rPr>
          <w:b/>
          <w:bCs/>
          <w:sz w:val="36"/>
          <w:szCs w:val="36"/>
        </w:rPr>
        <w:t xml:space="preserve">Release Notes</w:t>
      </w:r>
    </w:p>
    <w:p>
      <w:pPr>
        <w:spacing w:after="160"/>
      </w:pPr>
      <w:r>
        <w:rPr>
          <w:sz w:val="22"/>
          <w:szCs w:val="22"/>
        </w:rPr>
        <w:t xml:space="preserve">This brief gathers what changed, what is still open, and what the release group has to settle before the review.</w:t>
      </w:r>
    </w:p>
    <w:p>
      <w:pPr>
        <w:pStyle w:val="Heading2"/>
        <w:spacing w:after="80" w:before="240"/>
        <w:jc w:val="left"/>
      </w:pPr>
      <w:r>
        <w:rPr>
          <w:b/>
          <w:bCs/>
          <w:sz w:val="26"/>
          <w:szCs w:val="26"/>
        </w:rPr>
        <w:t xml:space="preserve">What changed</w:t>
      </w:r>
    </w:p>
    <w:p>
      <w:pPr>
        <w:spacing w:after="120" w:line="360" w:lineRule="auto"/>
        <w:jc w:val="left"/>
      </w:pPr>
      <w:r>
        <w:rPr>
          <w:sz w:val="22"/>
          <w:szCs w:val="22"/>
        </w:rPr>
        <w:t xml:space="preserve">The import path now keeps the original markup of every part it does not touch, so a document that goes in comes back out unchanged wherever nothing was edited.</w:t>
      </w:r>
    </w:p>
    <w:p>
      <w:pPr>
        <w:spacing w:after="120" w:line="480" w:lineRule="auto"/>
        <w:jc w:val="center"/>
      </w:pPr>
      <w:r>
        <w:rPr>
          <w:sz w:val="22"/>
          <w:szCs w:val="22"/>
        </w:rPr>
        <w:t xml:space="preserve">Every document opened here comes back out byte for byte.</w:t>
      </w:r>
    </w:p>
    <w:p>
      <w:pPr>
        <w:spacing w:after="120" w:line="300" w:lineRule="exact"/>
        <w:jc w:val="right"/>
      </w:pPr>
      <w:r>
        <w:rPr>
          <w:sz w:val="22"/>
          <w:szCs w:val="22"/>
        </w:rPr>
        <w:t xml:space="preserve">Reported by the platform group.</w:t>
      </w:r>
    </w:p>
    <w:p>
      <w:pPr>
        <w:spacing w:after="200"/>
        <w:jc w:val="both"/>
      </w:pPr>
      <w:r>
        <w:rPr>
          <w:sz w:val="22"/>
          <w:szCs w:val="22"/>
        </w:rPr>
        <w:t xml:space="preserve">Tables keep their merges through an insertion, lists keep their numbering through a split, and a locked stretch refuses an edit rather than dropping it quietly. The rest of this brief shows each of those in place.</w:t>
      </w:r>
    </w:p>
    <w:p>
      <w:pPr>
        <w:pStyle w:val="Heading2"/>
        <w:spacing w:after="80" w:before="240"/>
        <w:jc w:val="left"/>
      </w:pPr>
      <w:r>
        <w:rPr>
          <w:b/>
          <w:bCs/>
          <w:sz w:val="26"/>
          <w:szCs w:val="26"/>
        </w:rPr>
        <w:t xml:space="preserve">Notes from the review</w:t>
      </w:r>
    </w:p>
    <w:p>
      <w:pPr>
        <w:spacing w:after="120"/>
        <w:jc w:val="both"/>
      </w:pPr>
      <w:r>
        <w:rPr>
          <w:sz w:val="22"/>
          <w:szCs w:val="22"/>
        </w:rPr>
        <w:t xml:space="preserve">The reviewers agreed that </w:t>
      </w:r>
      <w:r>
        <w:rPr>
          <w:b/>
          <w:bCs/>
          <w:sz w:val="22"/>
          <w:szCs w:val="22"/>
        </w:rPr>
        <w:t xml:space="preserve">the import path</w:t>
      </w:r>
      <w:r>
        <w:rPr>
          <w:sz w:val="22"/>
          <w:szCs w:val="22"/>
        </w:rPr>
        <w:t xml:space="preserve"> is now settled, and that the </w:t>
      </w:r>
      <w:r>
        <w:rPr>
          <w:i/>
          <w:iCs/>
          <w:sz w:val="22"/>
          <w:szCs w:val="22"/>
        </w:rPr>
        <w:t xml:space="preserve">remaining questions</w:t>
      </w:r>
      <w:r>
        <w:rPr>
          <w:sz w:val="22"/>
          <w:szCs w:val="22"/>
        </w:rPr>
        <w:t xml:space="preserve">, which the table below lists, are </w:t>
      </w:r>
      <w:r>
        <w:rPr>
          <w:sz w:val="22"/>
          <w:szCs w:val="22"/>
          <w:u w:val="single"/>
        </w:rPr>
        <w:t xml:space="preserve">small enough</w:t>
      </w:r>
      <w:r>
        <w:rPr>
          <w:sz w:val="22"/>
          <w:szCs w:val="22"/>
        </w:rPr>
        <w:t xml:space="preserve"> to close </w:t>
      </w:r>
      <w:r>
        <w:rPr>
          <w:strike/>
          <w:sz w:val="22"/>
          <w:szCs w:val="22"/>
        </w:rPr>
        <w:t xml:space="preserve">next quarter</w:t>
      </w:r>
      <w:r>
        <w:rPr>
          <w:color w:val="C00000"/>
          <w:sz w:val="22"/>
          <w:szCs w:val="22"/>
        </w:rPr>
        <w:t xml:space="preserve"> this week.</w:t>
      </w:r>
    </w:p>
    <w:p>
      <w:pPr>
        <w:spacing w:after="120"/>
        <w:jc w:val="both"/>
      </w:pPr>
      <w:r>
        <w:rPr>
          <w:sz w:val="22"/>
          <w:szCs w:val="22"/>
          <w:highlight w:val="yellow"/>
        </w:rPr>
        <w:t xml:space="preserve">Sync stays off by default</w:t>
      </w:r>
      <w:r>
        <w:rPr>
          <w:sz w:val="22"/>
          <w:szCs w:val="22"/>
        </w:rPr>
        <w:t xml:space="preserve"> in this build, and the switch that turns it on is </w:t>
      </w:r>
      <w:r>
        <w:rPr>
          <w:sz w:val="22"/>
          <w:szCs w:val="22"/>
          <w:shd w:val="clear" w:color="auto" w:fill="FFF2CC"/>
        </w:rPr>
        <w:t xml:space="preserve">read from the workspace file</w:t>
      </w:r>
      <w:r>
        <w:rPr>
          <w:sz w:val="22"/>
          <w:szCs w:val="22"/>
        </w:rPr>
        <w:t xml:space="preserve">, not from the editor.</w:t>
      </w:r>
    </w:p>
    <w:p>
      <w:pPr>
        <w:spacing w:after="200"/>
        <w:jc w:val="left"/>
      </w:pPr>
      <w:r>
        <w:rPr>
          <w:sz w:val="22"/>
          <w:szCs w:val="22"/>
        </w:rPr>
        <w:t xml:space="preserve">What follows is the same document the editor opened, so the shapes below are the ones a reader meets: numbered decisions, a bulleted checklist, two tables, and two stretches held against editing.</w:t>
      </w:r>
    </w:p>
    <w:p>
      <w:pPr>
        <w:numPr>
          <w:ilvl w:val="0"/>
          <w:numId w:val="2"/>
        </w:numPr>
        <w:spacing w:after="80"/>
        <w:ind w:left="800" w:hanging="400"/>
      </w:pPr>
      <w:r>
        <w:rPr>
          <w:sz w:val="22"/>
          <w:szCs w:val="22"/>
        </w:rPr>
        <w:t xml:space="preserve">Confirm the export target before the review, so the copy can be finished against it.</w:t>
      </w:r>
    </w:p>
    <w:p>
      <w:pPr>
        <w:numPr>
          <w:ilvl w:val="0"/>
          <w:numId w:val="3"/>
        </w:numPr>
        <w:spacing w:after="80"/>
        <w:ind w:left="1068" w:hanging="360"/>
      </w:pPr>
      <w:r>
        <w:rPr>
          <w:sz w:val="22"/>
          <w:szCs w:val="22"/>
        </w:rPr>
        <w:t xml:space="preserve">Agree the review date with the platform group.</w:t>
      </w:r>
    </w:p>
    <w:p>
      <w:pPr>
        <w:numPr>
          <w:ilvl w:val="0"/>
          <w:numId w:val="3"/>
        </w:numPr>
        <w:spacing w:after="80"/>
        <w:ind w:left="1068" w:hanging="360"/>
      </w:pPr>
      <w:r>
        <w:rPr>
          <w:sz w:val="22"/>
          <w:szCs w:val="22"/>
        </w:rPr>
        <w:t xml:space="preserve">Settle whether sync ships on by default in the next build.</w:t>
      </w:r>
    </w:p>
    <w:p>
      <w:pPr>
        <w:numPr>
          <w:ilvl w:val="0"/>
          <w:numId w:val="3"/>
        </w:numPr>
        <w:spacing w:after="80"/>
        <w:ind w:left="1068" w:hanging="360"/>
      </w:pPr>
      <w:r>
        <w:rPr>
          <w:sz w:val="22"/>
          <w:szCs w:val="22"/>
        </w:rPr>
        <w:t xml:space="preserve">Name an owner for each of the open questions in the table below.</w:t>
      </w:r>
    </w:p>
    <w:p>
      <w:pPr>
        <w:numPr>
          <w:ilvl w:val="0"/>
          <w:numId w:val="3"/>
        </w:numPr>
        <w:spacing w:after="80"/>
        <w:ind w:left="1068" w:hanging="360"/>
      </w:pPr>
      <w:r>
        <w:rPr>
          <w:sz w:val="22"/>
          <w:szCs w:val="22"/>
        </w:rPr>
        <w:t xml:space="preserve">Decide what goes in the release note and what waits for the guide.</w:t>
      </w:r>
    </w:p>
    <w:p>
      <w:pPr>
        <w:numPr>
          <w:ilvl w:val="3"/>
          <w:numId w:val="3"/>
        </w:numPr>
        <w:spacing w:after="80"/>
        <w:ind w:left="1800" w:hanging="360"/>
      </w:pPr>
      <w:r>
        <w:rPr>
          <w:sz w:val="22"/>
          <w:szCs w:val="22"/>
        </w:rPr>
        <w:t xml:space="preserve">The two questions above are the only ones the group has to answer this week.</w:t>
      </w:r>
    </w:p>
    <w:p>
      <w:pPr>
        <w:numPr>
          <w:ilvl w:val="3"/>
          <w:numId w:val="3"/>
        </w:numPr>
        <w:spacing w:after="80"/>
        <w:ind w:left="1800" w:hanging="360"/>
      </w:pPr>
      <w:r>
        <w:rPr>
          <w:sz w:val="22"/>
          <w:szCs w:val="22"/>
        </w:rPr>
        <w:t xml:space="preserve">Everything else on the list can wait for the build after this one.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  <w:szCs w:val="22"/>
        </w:rPr>
        <w:t xml:space="preserve">Checked: the import path, the export target, and the locked stretches.</w:t>
      </w:r>
    </w:p>
    <w:p>
      <w:pPr>
        <w:numPr>
          <w:ilvl w:val="1"/>
          <w:numId w:val="1"/>
        </w:numPr>
        <w:spacing w:after="80"/>
        <w:ind w:left="1080" w:hanging="360"/>
      </w:pPr>
      <w:r>
        <w:rPr>
          <w:sz w:val="22"/>
          <w:szCs w:val="22"/>
        </w:rPr>
        <w:t xml:space="preserve">Still open: the sync default, and the date of the review.</w:t>
      </w:r>
    </w:p>
    <w:p>
      <w:pPr>
        <w:numPr>
          <w:ilvl w:val="1"/>
          <w:numId w:val="1"/>
        </w:numPr>
        <w:spacing w:after="200"/>
        <w:ind w:left="1080" w:hanging="360"/>
      </w:pPr>
      <w:r>
        <w:rPr>
          <w:sz w:val="22"/>
          <w:szCs w:val="22"/>
        </w:rPr>
        <w:t xml:space="preserve">Not in scope: anything that changes the file format itself.</w:t>
      </w:r>
    </w:p>
    <w:p>
      <w:pPr>
        <w:pStyle w:val="Heading2"/>
        <w:spacing w:after="80" w:before="240"/>
        <w:jc w:val="left"/>
      </w:pPr>
      <w:bookmarkStart w:id="11" w:name="openQuestions"/>
      <w:r>
        <w:rPr>
          <w:b/>
          <w:bCs/>
          <w:sz w:val="26"/>
          <w:szCs w:val="26"/>
        </w:rPr>
        <w:t xml:space="preserve">Open questions</w:t>
      </w:r>
      <w:bookmarkEnd w:id="11"/>
    </w:p>
    <w:p>
      <w:pPr>
        <w:spacing w:after="120"/>
      </w:pPr>
      <w:r>
        <w:rPr>
          <w:sz w:val="22"/>
          <w:szCs w:val="22"/>
        </w:rPr>
        <w:t xml:space="preserve">The table below carries one row for each area, with the questions still open beside it.</w:t>
      </w:r>
    </w:p>
    <w:tbl>
      <w:tblPr>
        <w:tblW w:type="pct" w:w="100%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00"/>
        <w:gridCol w:w="1500"/>
        <w:gridCol w:w="2000"/>
        <w:gridCol w:w="2000"/>
      </w:tblGrid>
      <w:tr>
        <w:tc>
          <w:tcPr>
            <w:tcW w:type="dxa" w:w="1000"/>
            <w:vMerge w:val="restart"/>
            <w:shd w:val="clear" w:color="auto" w:fill="F2F2F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Owner</w:t>
            </w:r>
          </w:p>
        </w:tc>
        <w:tc>
          <w:tcPr>
            <w:tcW w:type="dxa" w:w="4000"/>
            <w:gridSpan w:val="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numPr>
                <w:ilvl w:val="0"/>
                <w:numId w:val="4"/>
              </w:numPr>
              <w:spacing w:after="0"/>
              <w:ind w:left="720" w:hanging="360"/>
            </w:pPr>
            <w:r>
              <w:t xml:space="preserve">Confirm the export target</w:t>
            </w:r>
          </w:p>
          <w:p>
            <w:pPr>
              <w:numPr>
                <w:ilvl w:val="0"/>
                <w:numId w:val="4"/>
              </w:numPr>
              <w:spacing w:after="0"/>
              <w:ind w:left="720" w:hanging="360"/>
            </w:pPr>
            <w:r>
              <w:t xml:space="preserve">Agree the review date</w:t>
            </w:r>
          </w:p>
          <w:p>
            <w:pPr>
              <w:numPr>
                <w:ilvl w:val="0"/>
                <w:numId w:val="4"/>
              </w:numPr>
              <w:spacing w:after="0"/>
              <w:ind w:left="720" w:hanging="360"/>
            </w:pPr>
            <w:r>
              <w:t xml:space="preserve">Sign off the release note</w:t>
            </w:r>
          </w:p>
        </w:tc>
      </w:tr>
      <w:tr>
        <w:tc>
          <w:tcPr>
            <w:tcW w:type="dxa" w:w="1000"/>
            <w:vMerge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Platform</w:t>
            </w:r>
          </w:p>
        </w:tc>
        <w:tc>
          <w:tcPr>
            <w:tcW w:type="dxa" w:w="4000"/>
            <w:gridSpan w:val="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questions, both listed above, and both for this week.</w:t>
            </w:r>
          </w:p>
        </w:tc>
      </w:tr>
      <w:tr>
        <w:tc>
          <w:tcPr>
            <w:tcW w:type="dxa" w:w="1000"/>
            <w:vMerge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 review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 milestone</w:t>
            </w:r>
          </w:p>
        </w:tc>
      </w:tr>
    </w:tbl>
    <w:p>
      <w:pPr>
        <w:spacing w:after="120" w:before="320"/>
      </w:pPr>
      <w:r>
        <w:rPr>
          <w:sz w:val="22"/>
          <w:szCs w:val="22"/>
        </w:rPr>
        <w:t xml:space="preserve">The first cell of the table below is locked and cannot be edited, and the second is open.</w:t>
      </w:r>
    </w:p>
    <w:tbl>
      <w:tblPr>
        <w:tblW w:type="dxa" w:w="650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/>
      <w:tr>
        <w:sdt>
          <w:sdtPr>
            <w:id w:val="101"/>
            <w:lock w:val="sdtContentLocked"/>
          </w:sdtPr>
          <w:sdtContent>
            <w:tc>
              <w:tcPr>
                <w:tcW w:type="dxa" w:w="2000"/>
                <w:shd w:val="clear" w:color="auto" w:fill="F2F2F2"/>
                <w:tcMar>
                  <w:top w:type="dxa" w:w="60"/>
                  <w:left w:type="dxa" w:w="100"/>
                  <w:bottom w:type="dxa" w:w="60"/>
                  <w:right w:type="dxa" w:w="100"/>
                </w:tcMar>
              </w:tcPr>
              <w:p>
                <w:pPr>
                  <w:jc w:val="center"/>
                </w:pPr>
                <w:r>
                  <w:rPr>
                    <w:b/>
                    <w:bCs/>
                    <w:sz w:val="22"/>
                    <w:szCs w:val="22"/>
                  </w:rPr>
                  <w:t xml:space="preserve">Settled</w:t>
                </w:r>
              </w:p>
            </w:tc>
          </w:sdtContent>
        </w:sdt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The import path is agreed and needs no further review.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Open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The export target is still to be chosen.</w:t>
            </w:r>
          </w:p>
        </w:tc>
      </w:tr>
    </w:tbl>
    <w:p>
      <w:pPr>
        <w:spacing w:after="120" w:before="320"/>
        <w:jc w:val="both"/>
      </w:pPr>
      <w:r>
        <w:rPr>
          <w:sz w:val="22"/>
          <w:szCs w:val="22"/>
        </w:rPr>
        <w:t xml:space="preserve">This paragraph carries a stretch that is </w:t>
      </w:r>
      <w:sdt>
        <w:sdtPr>
          <w:id w:val="102"/>
          <w:lock w:val="sdtContentLocked"/>
        </w:sdtPr>
        <w:sdtContent>
          <w:r>
            <w:rPr>
              <w:sz w:val="22"/>
              <w:szCs w:val="22"/>
            </w:rPr>
            <w:t xml:space="preserve">locked against editing</w:t>
          </w:r>
        </w:sdtContent>
      </w:sdt>
      <w:r>
        <w:rPr>
          <w:sz w:val="22"/>
          <w:szCs w:val="22"/>
        </w:rPr>
        <w:t xml:space="preserve">, so a reader can select it and copy it but cannot change it, which is how a template holds a clause in place.</w:t>
      </w:r>
    </w:p>
    <w:p>
      <w:pPr>
        <w:spacing w:after="120"/>
      </w:pPr>
      <w:r>
        <w:rPr>
          <w:sz w:val="22"/>
          <w:szCs w:val="22"/>
        </w:rPr>
        <w:t xml:space="preserve">Everything else on the page is open, so try typing into it.</w:t>
      </w:r>
    </w:p>
    <w:p>
      <w:pPr>
        <w:spacing w:after="80" w:before="320"/>
      </w:pPr>
      <w:r>
        <w:rPr>
          <w:b/>
          <w:bCs/>
          <w:sz w:val="22"/>
          <w:szCs w:val="22"/>
        </w:rPr>
        <w:t xml:space="preserve">Links and a picture</w:t>
      </w:r>
    </w:p>
    <w:p>
      <w:pPr>
        <w:spacing w:after="120"/>
      </w:pPr>
      <w:r>
        <w:rPr>
          <w:sz w:val="22"/>
          <w:szCs w:val="22"/>
        </w:rPr>
        <w:t xml:space="preserve">The brief in full is kept at </w:t>
      </w:r>
      <w:hyperlink r:id="rId9" w:history="1" w:tooltip="The brief in full">
        <w:r>
          <w:rPr>
            <w:rStyle w:val="Hyperlink"/>
            <w:sz w:val="22"/>
            <w:szCs w:val="22"/>
          </w:rPr>
          <w:t xml:space="preserve">the release page</w:t>
        </w:r>
      </w:hyperlink>
      <w:r>
        <w:rPr>
          <w:sz w:val="22"/>
          <w:szCs w:val="22"/>
        </w:rPr>
        <w:t xml:space="preserve">, so its address rides on a relationship and never on the body.</w:t>
      </w:r>
    </w:p>
    <w:p>
      <w:pPr>
        <w:spacing w:after="120"/>
      </w:pPr>
      <w:r>
        <w:rPr>
          <w:sz w:val="22"/>
          <w:szCs w:val="22"/>
        </w:rPr>
        <w:t xml:space="preserve">A link may name a place in this document instead: </w:t>
      </w:r>
      <w:hyperlink w:anchor="openQuestions" w:tooltip="Back to the open questions">
        <w:r>
          <w:rPr>
            <w:rStyle w:val="Hyperlink"/>
            <w:sz w:val="22"/>
            <w:szCs w:val="22"/>
          </w:rPr>
          <w:t xml:space="preserve">the open questions above</w:t>
        </w:r>
      </w:hyperlink>
      <w:r>
        <w:rPr>
          <w:sz w:val="22"/>
          <w:szCs w:val="22"/>
        </w:rPr>
        <w:t xml:space="preserve">, which is kept as it came and offers no address to open.</w:t>
      </w:r>
    </w:p>
    <w:p>
      <w:pPr>
        <w:spacing w:after="120"/>
        <w:jc w:val="center"/>
      </w:pPr>
      <w:r>
        <w:rPr>
          <w:noProof/>
          <w:sz w:val="22"/>
          <w:szCs w:val="22"/>
        </w:rPr>
        <w:drawing>
          <wp:inline distT="0" distB="0" distL="0" distR="0">
            <wp:extent cx="228600" cy="228600"/>
            <wp:effectExtent l="0" t="0" r="0" b="0"/>
            <wp:docPr id="1" name="Picture 1" descr="A grey blo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320"/>
      </w:pPr>
      <w:r>
        <w:rPr>
          <w:sz w:val="22"/>
          <w:szCs w:val="22"/>
        </w:rPr>
        <w:t xml:space="preserve">Prepared for the release review.</w:t>
      </w:r>
    </w:p>
    <w:p>
      <w:pPr>
        <w:spacing w:after="80"/>
      </w:pPr>
      <w:r>
        <w:rPr>
          <w:sz w:val="22"/>
          <w:szCs w:val="22"/>
        </w:rPr>
        <w:t xml:space="preserve">The figures and dates in this brief are invented for the demonstration.</w:t>
      </w:r>
    </w:p>
    <w:p>
      <w:pPr>
        <w:spacing w:after="80"/>
      </w:pPr>
      <w:r>
        <w:rPr>
          <w:sz w:val="22"/>
          <w:szCs w:val="22"/>
        </w:rPr>
        <w:t xml:space="preserve">Nothing in it describes a real product, a real company or a real person.</w:t>
      </w:r>
    </w:p>
    <w:sectPr>
      <w:headerReference r:id="rId7" w:type="default"/>
      <w:footerReference r:id="rId8" w:type="default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endnote w:type="separator" w:id="-1">
    <w:p>
      <w:r>
        <w: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font w:name="Calibri"/>
  <w:font w:name="Arial"/>
  <w:font w:name="Batang"/>
  <w:font w:name="Gulim"/>
  <w:font w:name="Times New Roman"/>
  <w:font w:name="Courier New"/>
</w:fonts>
</file>

<file path=word/footer1.xml><?xml version="1.0" encoding="utf-8"?>
<w:ft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>
    <w:pPr>
      <w:jc w:val="center"/>
    </w:pPr>
    <w:r>
      <w:rPr>
        <w:sz w:val="18"/>
        <w:szCs w:val="18"/>
      </w:rPr>
      <w:t xml:space="preserve">Internal draft</w:t>
    </w:r>
  </w:p>
</w:ftr>
</file>

<file path=word/footnotes.xml><?xml version="1.0" encoding="utf-8"?>
<w:footnot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>
    <w:pPr>
      <w:jc w:val="right"/>
    </w:pPr>
    <w:r>
      <w:rPr>
        <w:sz w:val="18"/>
        <w:szCs w:val="18"/>
      </w:rPr>
      <w:t xml:space="preserve">Release Notes</w:t>
    </w:r>
  </w:p>
</w:hdr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abstractNum w:abstractNumId="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1800" w:hanging="360"/>
      </w:pPr>
    </w:lvl>
    <w:lvl w:ilvl="4">
      <w:start w:val="1"/>
      <w:numFmt w:val="bullet"/>
      <w:lvlText w:val="○"/>
      <w:lvlJc w:val="left"/>
      <w:pPr>
        <w:ind w:left="2160" w:hanging="360"/>
      </w:pPr>
    </w:lvl>
    <w:lvl w:ilvl="5">
      <w:start w:val="1"/>
      <w:numFmt w:val="bullet"/>
      <w:lvlText w:val="▪"/>
      <w:lvlJc w:val="left"/>
      <w:pPr>
        <w:ind w:left="2520" w:hanging="360"/>
      </w:pPr>
    </w:lvl>
    <w:lvl w:ilvl="6">
      <w:start w:val="1"/>
      <w:numFmt w:val="bullet"/>
      <w:lvlText w:val="●"/>
      <w:lvlJc w:val="left"/>
      <w:pPr>
        <w:ind w:left="2880" w:hanging="360"/>
      </w:pPr>
    </w:lvl>
    <w:lvl w:ilvl="7">
      <w:start w:val="1"/>
      <w:numFmt w:val="bullet"/>
      <w:lvlText w:val="○"/>
      <w:lvlJc w:val="left"/>
      <w:pPr>
        <w:ind w:left="3240" w:hanging="360"/>
      </w:pPr>
    </w:lvl>
    <w:lvl w:ilvl="8">
      <w:start w:val="1"/>
      <w:numFmt w:val="bullet"/>
      <w:lvlText w:val="▪"/>
      <w:lvlJc w:val="left"/>
      <w:pPr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lowerLetter"/>
      <w:lvlText w:val="%2)"/>
      <w:lvlJc w:val="left"/>
      <w:pPr>
        <w:ind w:left="1160" w:hanging="360"/>
      </w:pPr>
    </w:lvl>
    <w:lvl w:ilvl="2">
      <w:start w:val="1"/>
      <w:numFmt w:val="lowerRoman"/>
      <w:lvlText w:val="%3."/>
      <w:lvlJc w:val="left"/>
      <w:pPr>
        <w:ind w:left="1520" w:hanging="360"/>
      </w:pPr>
    </w:lvl>
    <w:lvl w:ilvl="3">
      <w:start w:val="1"/>
      <w:numFmt w:val="decimal"/>
      <w:lvlText w:val="%4."/>
      <w:lvlJc w:val="left"/>
      <w:pPr>
        <w:ind w:left="1880" w:hanging="360"/>
      </w:pPr>
    </w:lvl>
  </w:abstractNum>
  <w:abstractNum w:abstractNumId="3"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."/>
      <w:lvlJc w:val="left"/>
      <w:pPr>
        <w:ind w:left="1788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/>
      </w:rPr>
    </w:rPrDefault>
    <w:pPrDefault/>
  </w:docDefaults>
  <w:style w:type="paragraph" w:styleId="Title">
    <w:name w:val="Title"/>
    <w:basedOn w:val="Normal"/>
    <w:next w:val="Normal"/>
    <w:rPr>
      <w:sz w:val="56"/>
      <w:szCs w:val="56"/>
    </w:rPr>
  </w:style>
  <w:style w:type="paragraph" w:styleId="Heading1">
    <w:name w:val="Heading 1"/>
    <w:basedOn w:val="Normal"/>
    <w:next w:val="Normal"/>
    <w:rPr>
      <w:color w:val="2E74B5"/>
      <w:sz w:val="32"/>
      <w:szCs w:val="32"/>
    </w:rPr>
  </w:style>
  <w:style w:type="paragraph" w:styleId="Heading2">
    <w:name w:val="Heading 2"/>
    <w:basedOn w:val="Normal"/>
    <w:next w:val="Normal"/>
    <w:rPr>
      <w:color w:val="2E74B5"/>
      <w:sz w:val="26"/>
      <w:szCs w:val="26"/>
    </w:rPr>
  </w:style>
  <w:style w:type="paragraph" w:styleId="Heading3">
    <w:name w:val="Heading 3"/>
    <w:basedOn w:val="Normal"/>
    <w:next w:val="Normal"/>
    <w:rPr>
      <w:color w:val="1F4D78"/>
      <w:sz w:val="24"/>
      <w:szCs w:val="24"/>
    </w:rPr>
  </w:style>
  <w:style w:type="paragraph" w:styleId="Heading4">
    <w:name w:val="Heading 4"/>
    <w:basedOn w:val="Normal"/>
    <w:next w:val="Normal"/>
    <w:rPr>
      <w:i/>
      <w:iCs/>
      <w:color w:val="2E74B5"/>
    </w:rPr>
  </w:style>
  <w:style w:type="paragraph" w:styleId="Heading5">
    <w:name w:val="Heading 5"/>
    <w:basedOn w:val="Normal"/>
    <w:next w:val="Normal"/>
    <w:rPr>
      <w:color w:val="2E74B5"/>
    </w:rPr>
  </w:style>
  <w:style w:type="paragraph" w:styleId="Heading6">
    <w:name w:val="Heading 6"/>
    <w:basedOn w:val="Normal"/>
    <w:next w:val="Normal"/>
    <w:rPr>
      <w:color w:val="1F4D78"/>
    </w:rPr>
  </w:style>
  <w:style w:type="paragraph" w:styleId="Strong">
    <w:name w:val="Strong"/>
    <w:basedOn w:val="Normal"/>
    <w:next w:val="Normal"/>
    <w:rPr>
      <w:b/>
      <w:bCs/>
    </w:rPr>
  </w:style>
  <w:style w:type="paragraph" w:styleId="ListParagraph">
    <w:name w:val="List Paragraph"/>
    <w:basedOn w:val="Normal"/>
    <w:next w:val="Normal"/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next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next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https://example.com/releases/brief" TargetMode="Externa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Kitchen sink (fixture)</dc:title>
  <dc:creator>docx-editor fixtures</dc:creator>
  <cp:revision>1</cp:revision>
</cp:coreProperties>
</file>