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pStyle w:val="Heading1"/>
        <w:spacing w:after="240"/>
      </w:pPr>
      <w:r>
        <w:t xml:space="preserve">Block content controls</w:t>
      </w:r>
    </w:p>
    <w:p>
      <w:r>
        <w:t xml:space="preserve">A control standing under the body holds blocks of its own, and the two paragraphs below are the blocks of the first one.</w:t>
      </w:r>
    </w:p>
    <w:sdt>
      <w:sdtPr>
        <w:alias w:val="Opening clause"/>
        <w:id w:val="401"/>
        <w:richText/>
      </w:sdtPr>
      <w:sdtContent>
        <w:p>
          <w:r>
            <w:t xml:space="preserve">The opening clause of a rich text control.</w:t>
          </w:r>
        </w:p>
        <w:p>
          <w:r>
            <w:t xml:space="preserve">Its closing clause, in a second paragraph.</w:t>
          </w:r>
        </w:p>
      </w:sdtContent>
    </w:sdt>
    <w:p>
      <w:r>
        <w:t xml:space="preserve">A control may hold another control, and the group below holds a rich text control inside itself.</w:t>
      </w:r>
    </w:p>
    <w:sdt>
      <w:sdtPr>
        <w:id w:val="402"/>
        <w:group/>
      </w:sdtPr>
      <w:sdtContent>
        <w:sdt>
          <w:sdtPr>
            <w:id w:val="403"/>
            <w:richText/>
          </w:sdtPr>
          <w:sdtContent>
            <w:p>
              <w:r>
                <w:t xml:space="preserve">The inner control holds the only paragraph of the pair.</w:t>
              </w:r>
            </w:p>
          </w:sdtContent>
        </w:sdt>
      </w:sdtContent>
    </w:sdt>
    <w:p>
      <w:r>
        <w:t xml:space="preserve">A control may hold a table as readily as a paragraph.</w:t>
      </w:r>
    </w:p>
    <w:sdt>
      <w:sdtPr>
        <w:id w:val="404"/>
        <w:richText/>
      </w:sdtPr>
      <w:sdtContent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</w:tblPr>
          <w:tblGrid>
            <w:gridCol w:w="4513"/>
            <w:gridCol w:w="4513"/>
          </w:tblGrid>
          <w:tr>
            <w:tc>
              <w:tcPr>
                <w:tcW w:w="4513" w:type="dxa"/>
              </w:tcPr>
              <w:p>
                <w:r>
                  <w:t xml:space="preserve">A cell of a table a control holds</w:t>
                </w:r>
              </w:p>
            </w:tc>
            <w:tc>
              <w:tcPr>
                <w:tcW w:w="4513" w:type="dxa"/>
              </w:tcPr>
              <w:p>
                <w:r>
                  <w:t xml:space="preserve">beside its neighbour.</w:t>
                </w:r>
              </w:p>
            </w:tc>
          </w:tr>
        </w:tbl>
      </w:sdtContent>
    </w:sdt>
    <w:p>
      <w:r>
        <w:t xml:space="preserve">A control may also stand inside a cell, around the blocks of that cell rather than around the cell itself.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A plain cell</w:t>
            </w:r>
          </w:p>
        </w:tc>
        <w:tc>
          <w:tcPr>
            <w:tcW w:w="4513" w:type="dxa"/>
          </w:tcPr>
          <w:sdt>
            <w:sdtPr>
              <w:id w:val="405"/>
              <w:richText/>
            </w:sdtPr>
            <w:sdtContent>
              <w:p>
                <w:r>
                  <w:t xml:space="preserve">A control inside this cell.</w:t>
                </w:r>
              </w:p>
            </w:sdtContent>
          </w:sdt>
        </w:tc>
      </w:tr>
    </w:tbl>
    <w:p>
      <w:r>
        <w:t xml:space="preserve">The three controls below are kept whole instead of being opened, each for a reason of its own.</w:t>
      </w:r>
    </w:p>
    <w:sdt>
      <w:sdtPr>
        <w:id w:val="406"/>
        <w:text w:multiLine="0"/>
      </w:sdtPr>
      <w:sdtContent>
        <w:p>
          <w:r>
            <w:t xml:space="preserve">A text control takes at most one paragraph, so it stays as it came.</w:t>
          </w:r>
        </w:p>
      </w:sdtContent>
    </w:sdt>
    <w:sdt>
      <w:sdtPr>
        <w:id w:val="410"/>
        <w:date/>
      </w:sdtPr>
      <w:sdtContent>
        <w:p>
          <w:r>
            <w:t xml:space="preserve">A date control takes a single run, so it stays as it came.</w:t>
          </w:r>
        </w:p>
      </w:sdtContent>
    </w:sdt>
    <w:sdt>
      <w:sdtPr>
        <w:id w:val="407"/>
      </w:sdtPr>
      <w:sdtContent/>
    </w:sdt>
    <w:p>
      <w:r>
        <w:t xml:space="preserve">The two below carry a lock apiece, the first over its contents and the second over its own wrapper.</w:t>
      </w:r>
    </w:p>
    <w:sdt>
      <w:sdtPr>
        <w:id w:val="408"/>
        <w:lock w:val="sdtContentLocked"/>
        <w:richText/>
      </w:sdtPr>
      <w:sdtContent>
        <w:p>
          <w:r>
            <w:t xml:space="preserve">The contents of this control may not be edited, and the control may not be deleted.</w:t>
          </w:r>
        </w:p>
      </w:sdtContent>
    </w:sdt>
    <w:sdt>
      <w:sdtPr>
        <w:id w:val="409"/>
        <w:lock w:val="sdtLocked"/>
        <w:richText/>
      </w:sdtPr>
      <w:sdtContent>
        <w:p>
          <w:r>
            <w:t xml:space="preserve">The contents of this control may be retyped, while the control itself may not be removed.</w:t>
          </w:r>
        </w:p>
      </w:sdtContent>
    </w:sdt>
    <w:p>
      <w:r>
        <w:t xml:space="preserve">The two below say what becomes of them once their contents are edited.</w:t>
      </w:r>
    </w:p>
    <w:sdt>
      <w:sdtPr>
        <w:id w:val="411"/>
        <w:temporary/>
        <w:richText/>
      </w:sdtPr>
      <w:sdtContent>
        <w:p>
          <w:r>
            <w:t xml:space="preserve">This control is removed when its contents are modified.</w:t>
          </w:r>
        </w:p>
      </w:sdtContent>
    </w:sdt>
    <w:sdt>
      <w:sdtPr>
        <w:id w:val="412"/>
        <w:showingPlcHdr/>
        <w:richText/>
      </w:sdtPr>
      <w:sdtContent>
        <w:p>
          <w:r>
            <w:t xml:space="preserve">Type the clause reference here.</w:t>
          </w:r>
        </w:p>
      </w:sdtContent>
    </w:sdt>
    <w:p>
      <w:r>
        <w:t xml:space="preserve">A control may also stand around a whole row of a table, as the first row of the table below shows.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sdt>
        <w:sdtPr>
          <w:id w:val="413"/>
          <w:lock w:val="sdtLocked"/>
          <w:richText/>
        </w:sdtPr>
        <w:sdtContent>
          <w:tr>
            <w:tc>
              <w:tcPr>
                <w:tcW w:w="4513" w:type="dxa"/>
              </w:tcPr>
              <w:p>
                <w:r>
                  <w:t xml:space="preserve">A row a control stands around</w:t>
                </w:r>
              </w:p>
            </w:tc>
            <w:tc>
              <w:tcPr>
                <w:tcW w:w="4513" w:type="dxa"/>
              </w:tcPr>
              <w:p>
                <w:r>
                  <w:t xml:space="preserve">whose wrapper may not be removed.</w:t>
                </w:r>
              </w:p>
            </w:tc>
          </w:tr>
        </w:sdtContent>
      </w:sdt>
      <w:tr>
        <w:tc>
          <w:tcPr>
            <w:tcW w:w="4513" w:type="dxa"/>
          </w:tcPr>
          <w:p>
            <w:r>
              <w:t xml:space="preserve">A row beside it no control wraps</w:t>
            </w:r>
          </w:p>
        </w:tc>
        <w:tc>
          <w:tcPr>
            <w:tcW w:w="4513" w:type="dxa"/>
          </w:tcPr>
          <w:p>
            <w:r>
              <w:t xml:space="preserve">which may be edited and deleted.</w:t>
            </w:r>
          </w:p>
        </w:tc>
      </w:tr>
    </w:tbl>
    <w:p>
      <w:r>
        <w:t xml:space="preserve">The control in the last table holds two rows, and one row is all a row wrapper can be carried by, so that table is kept whole.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26"/>
      </w:tblGrid>
      <w:sdt>
        <w:sdtPr>
          <w:id w:val="414"/>
          <w:richText/>
        </w:sdtPr>
        <w:sdtContent>
          <w:tr>
            <w:tc>
              <w:tcPr>
                <w:tcW w:w="9026" w:type="dxa"/>
              </w:tcPr>
              <w:p>
                <w:r>
                  <w:t xml:space="preserve">The first of the two rows this control holds.</w:t>
                </w:r>
              </w:p>
            </w:tc>
          </w:tr>
          <w:tr>
            <w:tc>
              <w:tcPr>
                <w:tcW w:w="9026" w:type="dxa"/>
              </w:tcPr>
              <w:p>
                <w:r>
                  <w:t xml:space="preserve">The second, which is why the table is kept whole.</w:t>
                </w:r>
              </w:p>
            </w:tc>
          </w:tr>
        </w:sdtContent>
      </w:sdt>
    </w:tbl>
    <w:p>
      <w:r>
        <w:t xml:space="preserve">A control may also hold the paragraph a section ends on, and the control below is parted where its second paragraph closes a section.</w:t>
      </w:r>
    </w:p>
    <w:sdt>
      <w:sdtPr>
        <w:id w:val="415"/>
        <w:richText/>
      </w:sdtPr>
      <w:sdtContent>
        <w:p>
          <w:r>
            <w:t xml:space="preserve">The first paragraph of this control, which carries no section properties of its own.</w:t>
          </w:r>
        </w:p>
        <w:p>
          <w:pPr>
            <w:sectPr>
              <w:pgSz w:w="11906" w:h="16838" w:orient="portrait"/>
              <w:pgMar w:top="1134" w:right="1440" w:bottom="851" w:left="1440" w:header="624" w:footer="482" w:gutter="0"/>
              <w:docGrid w:linePitch="360"/>
            </w:sectPr>
          </w:pPr>
          <w:r>
            <w:t xml:space="preserve">Its second paragraph carries the section break, on margins no other section of this document is written to.</w:t>
          </w:r>
        </w:p>
        <w:p>
          <w:r>
            <w:t xml:space="preserve">Its third paragraph comes after the break, so it stands on the next section's paper.</w:t>
          </w:r>
        </w:p>
      </w:sdtContent>
    </w:sdt>
    <w:p>
      <w:r>
        <w:t xml:space="preserve">A control may also stand inside a paragraph with nothing inside it, and the two between these words do: </w:t>
      </w:r>
      <w:sdt>
        <w:sdtPr>
          <w:alias w:val="Signing date"/>
          <w:id w:val="416"/>
        </w:sdtPr>
        <w:sdtContent/>
      </w:sdt>
      <w:sdt>
        <w:sdtPr>
          <w:id w:val="417"/>
          <w:lock w:val="sdtLocked"/>
        </w:sdtPr>
      </w:sdt>
      <w:r>
        <w:t xml:space="preserve">so the sentence runs on with no gap where they stand.</w:t>
      </w:r>
    </w:p>
    <w:p>
      <w:r>
        <w:t xml:space="preserve">One of them stands inside a control holding text: </w:t>
      </w:r>
      <w:sdt>
        <w:sdtPr>
          <w:id w:val="418"/>
        </w:sdtPr>
        <w:sdtContent>
          <w:r>
            <w:t xml:space="preserve">the words the outer control wraps, </w:t>
          </w:r>
          <w:sdt>
            <w:sdtPr>
              <w:id w:val="419"/>
            </w:sdtPr>
            <w:sdtContent/>
          </w:sdt>
        </w:sdtContent>
      </w:sdt>
      <w:r>
        <w:t xml:space="preserve">and the clause after it stands outside them both.</w:t>
      </w:r>
    </w:p>
    <w:p>
      <w:r>
        <w:t xml:space="preserve">A control may hold nothing but a highlighted run with no text in it, a blank left to fill in: </w:t>
      </w:r>
      <w:sdt>
        <w:sdtPr>
          <w:alias w:val="Signer"/>
          <w:id w:val="420"/>
        </w:sdtPr>
        <w:sdtContent>
          <w:r>
            <w:rPr>
              <w:highlight w:val="yellow"/>
            </w:rPr>
            <w:t xml:space="preserve"/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A cell holding the same blank</w:t>
            </w:r>
          </w:p>
        </w:tc>
        <w:tc>
          <w:tcPr>
            <w:tcW w:w="4513" w:type="dxa"/>
          </w:tcPr>
          <w:p>
            <w:r>
              <w:rPr>
                <w:highlight w:val="yellow"/>
              </w:rPr>
              <w:t xml:space="preserve"/>
            </w:r>
          </w:p>
        </w:tc>
      </w:tr>
    </w:tbl>
    <w:p>
      <w:r>
        <w:t xml:space="preserve">Nothing here was saved by a word processor; every part is written on purpose.</w:t>
      </w:r>
    </w:p>
    <w:sectPr>
      <w:pgSz w:w="11906" w:h="16838" w:orient="portrait"/>
      <w:pgMar w:top="1701" w:right="1440" w:bottom="1418" w:left="1440" w:header="709" w:footer="567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Times New Roman"/>
  <w:font w:name="MS Gothic"/>
  <w:font w:name="MS Mincho"/>
  <w:font w:name="Microsoft YaHei"/>
  <w:font w:name="SimSun"/>
  <w:font w:name="Malgun Gothic"/>
  <w:font w:name="Gungsuh"/>
</w:fonts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0">
    <w:multiLevelType w:val="singleLevel"/>
    <w:lvl w:ilvl="0">
      <w:start w:val="1"/>
      <w:numFmt w:val="decimal"/>
      <w:lvlText w:val="%1."/>
      <w:lvlJc w:val="left"/>
      <w:pPr>
        <w:ind w:left="708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next w:val="Normal"/>
    <w:rPr>
      <w:b/>
      <w:bCs/>
      <w:sz w:val="28"/>
      <w:szCs w:val="28"/>
    </w:rPr>
  </w:style>
  <w:style w:type="paragraph" w:styleId="ListParagraph">
    <w:name w:val="List Paragraph"/>
    <w:basedOn w:val="Normal"/>
    <w:next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Yu Gothic"/>
        <a:cs typeface=""/>
        <a:font script="Jpan" typeface="Yu Gothic"/>
        <a:font script="Hans" typeface="Microsoft YaHei"/>
      </a:majorFont>
      <a:minorFont>
        <a:latin typeface="Calibri"/>
        <a:ea typeface="Yu Mincho"/>
        <a:cs typeface=""/>
        <a:font script="Jpan" typeface="Yu Mincho"/>
        <a:font script="Hans" typeface="DengXi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Preserved markup (fixture)</dc:title>
  <dc:creator>docx-editor fixtures</dc:creator>
  <cp:revision>1</cp:revision>
</cp:coreProperties>
</file>