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body>
    <w:p>
      <w:pPr>
        <w:pStyle w:val="Heading1"/>
        <w:spacing w:line="276" w:lineRule="auto"/>
        <w:jc w:val="center"/>
      </w:pPr>
      <w:r>
        <w:rPr>
          <w:b/>
          <w:bCs/>
          <w:color w:val="1F3864"/>
          <w:sz w:val="40"/>
          <w:szCs w:val="40"/>
        </w:rPr>
        <w:t xml:space="preserve">Editor capability summary</w:t>
      </w:r>
    </w:p>
    <w:p>
      <w:pPr>
        <w:spacing w:line="276" w:lineRule="auto"/>
        <w:jc w:val="center"/>
      </w:pPr>
      <w:r>
        <w:rPr>
          <w:i/>
          <w:iCs/>
          <w:color w:val="595959"/>
          <w:sz w:val="24"/>
          <w:szCs w:val="24"/>
        </w:rPr>
        <w:t xml:space="preserve">What this editor reads, what it carries and what it does not do</w:t>
      </w:r>
    </w:p>
    <w:p>
      <w:pPr>
        <w:spacing w:line="276" w:lineRule="auto"/>
      </w:pPr>
    </w:p>
    <w:p>
      <w:pPr>
        <w:pStyle w:val="Heading2"/>
        <w:spacing w:line="276" w:lineRule="auto"/>
      </w:pPr>
      <w:r>
        <w:rPr>
          <w:b/>
          <w:bCs/>
          <w:color w:val="1F3864"/>
          <w:sz w:val="26"/>
          <w:szCs w:val="26"/>
        </w:rPr>
        <w:t xml:space="preserve">1. Scope</w:t>
      </w:r>
    </w:p>
    <w:p>
      <w:pPr>
        <w:spacing w:line="276" w:lineRule="auto"/>
        <w:jc w:val="both"/>
      </w:pPr>
      <w:r>
        <w:rPr>
          <w:sz w:val="22"/>
          <w:szCs w:val="22"/>
        </w:rPr>
        <w:t xml:space="preserve">This is a </w:t>
      </w:r>
      <w:r>
        <w:rPr>
          <w:b/>
          <w:bCs/>
          <w:sz w:val="22"/>
          <w:szCs w:val="22"/>
        </w:rPr>
        <w:t xml:space="preserve">simple docx editor</w:t>
      </w:r>
      <w:r>
        <w:rPr>
          <w:sz w:val="22"/>
          <w:szCs w:val="22"/>
        </w:rPr>
        <w:t xml:space="preserve">. It keeps to editing a document, and covers what editing one asks for: text and the formatting on it, paragraphs and the styles they name, tabs, lists, tables, inline pictures, links and locked blocks, over a real docx package.</w:t>
      </w:r>
    </w:p>
    <w:p>
      <w:pPr>
        <w:spacing w:line="276" w:lineRule="auto"/>
      </w:pPr>
    </w:p>
    <w:p>
      <w:pPr>
        <w:spacing w:line="276" w:lineRule="auto"/>
        <w:jc w:val="both"/>
      </w:pPr>
      <w:r>
        <w:rPr>
          <w:sz w:val="22"/>
          <w:szCs w:val="22"/>
        </w:rPr>
        <w:t xml:space="preserve">The package is light to take on: two runtime dependencies, with the editing engine and React as peers, so a host already carrying them does not pay twice.</w:t>
      </w:r>
    </w:p>
    <w:p>
      <w:pPr>
        <w:spacing w:line="276" w:lineRule="auto"/>
      </w:pPr>
    </w:p>
    <w:p>
      <w:pPr>
        <w:pStyle w:val="Heading2"/>
        <w:spacing w:line="276" w:lineRule="auto"/>
      </w:pPr>
      <w:r>
        <w:rPr>
          <w:b/>
          <w:bCs/>
          <w:color w:val="1F3864"/>
          <w:sz w:val="26"/>
          <w:szCs w:val="26"/>
        </w:rPr>
        <w:t xml:space="preserve">2. How it works</w:t>
      </w:r>
    </w:p>
    <w:p>
      <w:pPr>
        <w:spacing w:line="276" w:lineRule="auto"/>
        <w:jc w:val="both"/>
      </w:pPr>
      <w:r>
        <w:rPr>
          <w:sz w:val="22"/>
          <w:szCs w:val="22"/>
        </w:rPr>
        <w:t xml:space="preserve">The editor reads and writes </w:t>
      </w:r>
      <w:r>
        <w:rPr>
          <w:b/>
          <w:bCs/>
          <w:sz w:val="22"/>
          <w:szCs w:val="22"/>
        </w:rPr>
        <w:t xml:space="preserve">OOXML directly</w:t>
      </w:r>
      <w:r>
        <w:rPr>
          <w:sz w:val="22"/>
          <w:szCs w:val="22"/>
        </w:rPr>
        <w:t xml:space="preserve">, with no HTML in between. Nothing it cannot draw is ever rewritten: a construct it does not model becomes a placeholder over its own bytes, and a document opened and exported without an edit gives back every part of the package byte for byte.</w:t>
      </w:r>
    </w:p>
    <w:p>
      <w:pPr>
        <w:spacing w:line="276" w:lineRule="auto"/>
      </w:pPr>
    </w:p>
    <w:p>
      <w:pPr>
        <w:spacing w:line="276" w:lineRule="auto"/>
        <w:jc w:val="both"/>
      </w:pPr>
      <w:r>
        <w:rPr>
          <w:sz w:val="22"/>
          <w:szCs w:val="22"/>
        </w:rPr>
        <w:t xml:space="preserve">A file whose preservation could not be promised is refused at import rather than quietly damaged. The export paths are tested against the </w:t>
      </w:r>
      <w:r>
        <w:rPr>
          <w:b/>
          <w:bCs/>
          <w:sz w:val="22"/>
          <w:szCs w:val="22"/>
        </w:rPr>
        <w:t xml:space="preserve">ECMA-376 schemas</w:t>
      </w:r>
      <w:r>
        <w:rPr>
          <w:sz w:val="22"/>
          <w:szCs w:val="22"/>
        </w:rPr>
        <w:t xml:space="preserve">, and every refusal carries a stable code.</w:t>
      </w:r>
    </w:p>
    <w:p>
      <w:pPr>
        <w:spacing w:line="276" w:lineRule="auto"/>
      </w:pPr>
    </w:p>
    <w:p>
      <w:pPr>
        <w:pStyle w:val="Heading2"/>
        <w:spacing w:line="276" w:lineRule="auto"/>
      </w:pPr>
      <w:r>
        <w:rPr>
          <w:b/>
          <w:bCs/>
          <w:color w:val="1F3864"/>
          <w:sz w:val="26"/>
          <w:szCs w:val="26"/>
        </w:rPr>
        <w:t xml:space="preserve">3. Document features</w:t>
      </w:r>
    </w:p>
    <w:p>
      <w:pPr>
        <w:spacing w:line="276" w:lineRule="auto"/>
        <w:jc w:val="both"/>
      </w:pPr>
      <w:r>
        <w:rPr>
          <w:sz w:val="22"/>
          <w:szCs w:val="22"/>
        </w:rPr>
        <w:t xml:space="preserve">The editor opens read-only, for commenting, or for editing, and whichever way it is open the document goes back out as a docx. Comments come with their threads and the author on each, and footnotes, endnotes, headers and footers are shown as the document wrote them. Text pasted in keeps the formatting, links and lists it came with.</w:t>
      </w:r>
    </w:p>
    <w:p>
      <w:pPr>
        <w:spacing w:line="276" w:lineRule="auto"/>
      </w:pPr>
    </w:p>
    <w:p>
      <w:pPr>
        <w:spacing w:line="276" w:lineRule="auto"/>
        <w:jc w:val="both"/>
      </w:pPr>
      <w:r>
        <w:rPr>
          <w:sz w:val="22"/>
          <w:szCs w:val="22"/>
        </w:rPr>
        <w:t xml:space="preserve">What the editor does not model is kept rather than dropped, and the text around it stays editable. The page marks are a guide to the layout rather than print pagination.</w:t>
      </w:r>
    </w:p>
    <w:p>
      <w:pPr>
        <w:spacing w:line="276" w:lineRule="auto"/>
      </w:pPr>
    </w:p>
    <w:p>
      <w:pPr>
        <w:pStyle w:val="Heading2"/>
        <w:spacing w:line="276" w:lineRule="auto"/>
      </w:pPr>
      <w:r>
        <w:rPr>
          <w:b/>
          <w:bCs/>
          <w:color w:val="1F3864"/>
          <w:sz w:val="26"/>
          <w:szCs w:val="26"/>
        </w:rPr>
        <w:t xml:space="preserve">4. If something is missing</w:t>
      </w:r>
    </w:p>
    <w:p>
      <w:pPr>
        <w:spacing w:line="276" w:lineRule="auto"/>
        <w:jc w:val="both"/>
      </w:pPr>
      <w:r>
        <w:rPr>
          <w:sz w:val="22"/>
          <w:szCs w:val="22"/>
        </w:rPr>
        <w:t xml:space="preserve">The whole list of what is and is not supported lives with the project. Something missing can be raised as an issue there, and a contribution towards it is welcome; the editor may come to support it.</w:t>
      </w:r>
    </w:p>
    <w:p>
      <w:pPr>
        <w:pStyle w:val="Heading1"/>
        <w:spacing w:line="276" w:lineRule="auto"/>
      </w:pPr>
      <w:r>
        <w:br w:type="page"/>
      </w:r>
      <w:r>
        <w:rPr>
          <w:b/>
          <w:bCs/>
          <w:color w:val="1F3864"/>
          <w:sz w:val="32"/>
          <w:szCs w:val="32"/>
        </w:rPr>
        <w:t xml:space="preserve">Specimen</w:t>
      </w:r>
    </w:p>
    <w:p>
      <w:pPr>
        <w:spacing w:line="276" w:lineRule="auto"/>
        <w:jc w:val="both"/>
      </w:pPr>
      <w:r>
        <w:rPr>
          <w:sz w:val="22"/>
          <w:szCs w:val="22"/>
        </w:rPr>
        <w:t xml:space="preserve">Every paragraph from here on is set the way it says it is set, and where OOXML has a value behind a setting the value is given in parentheses, read out of this document's own XML.</w:t>
      </w:r>
    </w:p>
    <w:p>
      <w:pPr>
        <w:spacing w:line="276" w:lineRule="auto"/>
      </w:pPr>
    </w:p>
    <w:p>
      <w:pPr>
        <w:pStyle w:val="Heading2"/>
        <w:spacing w:line="276" w:lineRule="auto"/>
      </w:pPr>
      <w:r>
        <w:rPr>
          <w:b/>
          <w:bCs/>
          <w:color w:val="1F3864"/>
          <w:sz w:val="26"/>
          <w:szCs w:val="26"/>
        </w:rPr>
        <w:t xml:space="preserve">5. Alignment</w:t>
      </w:r>
    </w:p>
    <w:p>
      <w:pPr>
        <w:spacing w:line="276" w:lineRule="auto"/>
        <w:jc w:val="left"/>
      </w:pPr>
      <w:r>
        <w:rPr>
          <w:sz w:val="22"/>
          <w:szCs w:val="22"/>
        </w:rPr>
        <w:t xml:space="preserve">This paragraph is aligned left (w:jc left), so its lines start flush against the left margin and end wherever the last word falls. The ragged right edge is the point of it.</w:t>
      </w:r>
    </w:p>
    <w:p>
      <w:pPr>
        <w:spacing w:line="276" w:lineRule="auto"/>
      </w:pPr>
    </w:p>
    <w:p>
      <w:pPr>
        <w:spacing w:line="276" w:lineRule="auto"/>
        <w:jc w:val="center"/>
      </w:pPr>
      <w:r>
        <w:rPr>
          <w:sz w:val="22"/>
          <w:szCs w:val="22"/>
        </w:rPr>
        <w:t xml:space="preserve">This paragraph is centred (w:jc center). The space left over on each line is shared between the two margins, which is why both of its edges move as the lines change length.</w:t>
      </w:r>
    </w:p>
    <w:p>
      <w:pPr>
        <w:spacing w:line="276" w:lineRule="auto"/>
      </w:pPr>
    </w:p>
    <w:p>
      <w:pPr>
        <w:spacing w:line="276" w:lineRule="auto"/>
        <w:jc w:val="right"/>
      </w:pPr>
      <w:r>
        <w:rPr>
          <w:sz w:val="22"/>
          <w:szCs w:val="22"/>
        </w:rPr>
        <w:t xml:space="preserve">This paragraph is aligned right (w:jc right). Its lines end flush against the right margin and begin wherever there is room, which is the mirror of the first one.</w:t>
      </w:r>
    </w:p>
    <w:p>
      <w:pPr>
        <w:spacing w:line="276" w:lineRule="auto"/>
      </w:pPr>
    </w:p>
    <w:p>
      <w:pPr>
        <w:spacing w:line="276" w:lineRule="auto"/>
        <w:jc w:val="both"/>
      </w:pPr>
      <w:r>
        <w:rPr>
          <w:sz w:val="22"/>
          <w:szCs w:val="22"/>
        </w:rPr>
        <w:t xml:space="preserve">This paragraph is justified (w:jc both). Word spacing on every line but the last is stretched until the line reaches both margins, so the block has two straight edges.</w:t>
      </w:r>
    </w:p>
    <w:p>
      <w:pPr>
        <w:spacing w:line="276" w:lineRule="auto"/>
      </w:pPr>
    </w:p>
    <w:p>
      <w:pPr>
        <w:pStyle w:val="Heading2"/>
        <w:spacing w:line="276" w:lineRule="auto"/>
      </w:pPr>
      <w:r>
        <w:rPr>
          <w:b/>
          <w:bCs/>
          <w:color w:val="1F3864"/>
          <w:sz w:val="26"/>
          <w:szCs w:val="26"/>
        </w:rPr>
        <w:t xml:space="preserve">6. Indentation</w:t>
      </w:r>
    </w:p>
    <w:p>
      <w:pPr>
        <w:spacing w:line="276" w:lineRule="auto"/>
        <w:jc w:val="both"/>
      </w:pPr>
      <w:r>
        <w:rPr>
          <w:sz w:val="22"/>
          <w:szCs w:val="22"/>
        </w:rPr>
        <w:t xml:space="preserve">An indent is written in twips, and there are 1440 to an inch.</w:t>
      </w:r>
    </w:p>
    <w:p>
      <w:pPr>
        <w:spacing w:line="276" w:lineRule="auto"/>
      </w:pPr>
    </w:p>
    <w:p>
      <w:pPr>
        <w:spacing w:line="276" w:lineRule="auto"/>
        <w:ind w:left="720"/>
        <w:jc w:val="both"/>
      </w:pPr>
      <w:r>
        <w:rPr>
          <w:sz w:val="22"/>
          <w:szCs w:val="22"/>
        </w:rPr>
        <w:t xml:space="preserve">This paragraph carries a left indent of 720 twips (w:ind w:left=720), half an inch, which is the step the indent buttons move a paragraph by. Every line starts at the same place.</w:t>
      </w:r>
    </w:p>
    <w:p>
      <w:pPr>
        <w:spacing w:line="276" w:lineRule="auto"/>
      </w:pPr>
    </w:p>
    <w:p>
      <w:pPr>
        <w:pStyle w:val="Heading2"/>
        <w:spacing w:line="276" w:lineRule="auto"/>
      </w:pPr>
      <w:r>
        <w:rPr>
          <w:b/>
          <w:bCs/>
          <w:color w:val="1F3864"/>
          <w:sz w:val="26"/>
          <w:szCs w:val="26"/>
        </w:rPr>
        <w:t xml:space="preserve">7. Line spacing</w:t>
      </w:r>
    </w:p>
    <w:p>
      <w:pPr>
        <w:spacing w:line="276" w:lineRule="auto"/>
        <w:jc w:val="both"/>
      </w:pPr>
      <w:r>
        <w:rPr>
          <w:sz w:val="22"/>
          <w:szCs w:val="22"/>
        </w:rPr>
        <w:t xml:space="preserve">A multiple of a line counts 240ths of one, so 240 is a single line.</w:t>
      </w:r>
    </w:p>
    <w:p>
      <w:pPr>
        <w:spacing w:line="276" w:lineRule="auto"/>
      </w:pPr>
    </w:p>
    <w:p>
      <w:pPr>
        <w:spacing w:line="240" w:lineRule="auto"/>
        <w:jc w:val="both"/>
      </w:pPr>
      <w:r>
        <w:rPr>
          <w:sz w:val="22"/>
          <w:szCs w:val="22"/>
        </w:rPr>
        <w:t xml:space="preserve">This paragraph is single spaced (w:line=240, w:lineRule=auto). The lines sit as close together as the font asks for, which is what a document gets when it says nothing at all.</w:t>
      </w:r>
    </w:p>
    <w:p>
      <w:pPr>
        <w:spacing w:line="276" w:lineRule="auto"/>
      </w:pPr>
    </w:p>
    <w:p>
      <w:pPr>
        <w:spacing w:line="276" w:lineRule="auto"/>
        <w:jc w:val="both"/>
      </w:pPr>
      <w:r>
        <w:rPr>
          <w:sz w:val="22"/>
          <w:szCs w:val="22"/>
        </w:rPr>
        <w:t xml:space="preserve">This paragraph is set at 1.15 lines (w:line=276), the spacing the rest of this document uses: close enough to single not to draw attention, open enough to read a long paragraph in.</w:t>
      </w:r>
    </w:p>
    <w:p>
      <w:pPr>
        <w:spacing w:line="276" w:lineRule="auto"/>
      </w:pPr>
    </w:p>
    <w:p>
      <w:pPr>
        <w:pStyle w:val="Heading2"/>
        <w:spacing w:line="276" w:lineRule="auto"/>
      </w:pPr>
      <w:r>
        <w:rPr>
          <w:b/>
          <w:bCs/>
          <w:color w:val="1F3864"/>
          <w:sz w:val="26"/>
          <w:szCs w:val="26"/>
        </w:rPr>
        <w:t xml:space="preserve">8. Tabs</w:t>
      </w:r>
    </w:p>
    <w:p>
      <w:pPr>
        <w:spacing w:line="276" w:lineRule="auto"/>
        <w:jc w:val="both"/>
      </w:pPr>
      <w:r>
        <w:rPr>
          <w:sz w:val="22"/>
          <w:szCs w:val="22"/>
        </w:rPr>
        <w:t xml:space="preserve">A tab jumps to the next stop its paragraph sets (w:tabs), and to the next multiple of the interval the document carries where it sets none (w:defaultTabStop, 720 twips).</w:t>
      </w:r>
    </w:p>
    <w:p>
      <w:pPr>
        <w:spacing w:line="276" w:lineRule="auto"/>
      </w:pPr>
    </w:p>
    <w:p>
      <w:pPr>
        <w:tabs>
          <w:tab w:val="left" w:pos="2400"/>
          <w:tab w:val="center" w:pos="5400"/>
          <w:tab w:val="right" w:pos="9026"/>
        </w:tabs>
        <w:spacing w:line="276" w:lineRule="auto"/>
      </w:pPr>
      <w:r>
        <w:rPr>
          <w:sz w:val="22"/>
          <w:szCs w:val="22"/>
        </w:rPr>
        <w:t xml:space="preserve">Three stops</w:t>
      </w:r>
      <w:r>
        <w:rPr>
          <w:sz w:val="22"/>
          <w:szCs w:val="22"/>
        </w:rPr>
        <w:tab/>
      </w:r>
      <w:r>
        <w:rPr>
          <w:sz w:val="22"/>
          <w:szCs w:val="22"/>
        </w:rPr>
        <w:t xml:space="preserve">left at 2400</w:t>
      </w:r>
      <w:r>
        <w:rPr>
          <w:sz w:val="22"/>
          <w:szCs w:val="22"/>
        </w:rPr>
        <w:tab/>
      </w:r>
      <w:r>
        <w:rPr>
          <w:sz w:val="22"/>
          <w:szCs w:val="22"/>
        </w:rPr>
        <w:t xml:space="preserve">centred at 5400</w:t>
      </w:r>
      <w:r>
        <w:rPr>
          <w:sz w:val="22"/>
          <w:szCs w:val="22"/>
        </w:rPr>
        <w:tab/>
      </w:r>
      <w:r>
        <w:rPr>
          <w:sz w:val="22"/>
          <w:szCs w:val="22"/>
        </w:rPr>
        <w:t xml:space="preserve">right at 9026</w:t>
      </w:r>
    </w:p>
    <w:p>
      <w:pPr>
        <w:spacing w:line="276" w:lineRule="auto"/>
      </w:pPr>
      <w:r>
        <w:rPr>
          <w:sz w:val="22"/>
          <w:szCs w:val="22"/>
        </w:rPr>
        <w:t xml:space="preserve">No stops</w:t>
      </w:r>
      <w:r>
        <w:rPr>
          <w:sz w:val="22"/>
          <w:szCs w:val="22"/>
        </w:rPr>
        <w:tab/>
      </w:r>
      <w:r>
        <w:rPr>
          <w:sz w:val="22"/>
          <w:szCs w:val="22"/>
        </w:rPr>
        <w:t xml:space="preserve">so each</w:t>
      </w:r>
      <w:r>
        <w:rPr>
          <w:sz w:val="22"/>
          <w:szCs w:val="22"/>
        </w:rPr>
        <w:tab/>
      </w:r>
      <w:r>
        <w:rPr>
          <w:sz w:val="22"/>
          <w:szCs w:val="22"/>
        </w:rPr>
        <w:t xml:space="preserve">tab falls on</w:t>
      </w:r>
      <w:r>
        <w:rPr>
          <w:sz w:val="22"/>
          <w:szCs w:val="22"/>
        </w:rPr>
        <w:tab/>
      </w:r>
      <w:r>
        <w:rPr>
          <w:sz w:val="22"/>
          <w:szCs w:val="22"/>
        </w:rPr>
        <w:t xml:space="preserve">the automatic interval.</w:t>
      </w:r>
    </w:p>
    <w:p>
      <w:pPr>
        <w:spacing w:line="276" w:lineRule="auto"/>
      </w:pPr>
    </w:p>
    <w:p>
      <w:pPr>
        <w:pStyle w:val="Heading2"/>
        <w:spacing w:line="276" w:lineRule="auto"/>
      </w:pPr>
      <w:r>
        <w:br w:type="page"/>
      </w:r>
      <w:r>
        <w:rPr>
          <w:b/>
          <w:bCs/>
          <w:color w:val="1F3864"/>
          <w:sz w:val="26"/>
          <w:szCs w:val="26"/>
        </w:rPr>
        <w:t xml:space="preserve">9. Character formatting</w:t>
      </w:r>
    </w:p>
    <w:p>
      <w:pPr>
        <w:spacing w:line="276" w:lineRule="auto"/>
        <w:jc w:val="both"/>
      </w:pPr>
      <w:r>
        <w:rPr>
          <w:sz w:val="22"/>
          <w:szCs w:val="22"/>
        </w:rPr>
        <w:t xml:space="preserve">Formatting belongs to the run, so one sentence can carry several: this is </w:t>
      </w:r>
      <w:r>
        <w:rPr>
          <w:b/>
          <w:bCs/>
          <w:sz w:val="22"/>
          <w:szCs w:val="22"/>
        </w:rPr>
        <w:t xml:space="preserve">bold</w:t>
      </w:r>
      <w:r>
        <w:rPr>
          <w:sz w:val="22"/>
          <w:szCs w:val="22"/>
        </w:rPr>
        <w:t xml:space="preserve">, this is </w:t>
      </w:r>
      <w:r>
        <w:rPr>
          <w:i/>
          <w:iCs/>
          <w:sz w:val="22"/>
          <w:szCs w:val="22"/>
        </w:rPr>
        <w:t xml:space="preserve">italic</w:t>
      </w:r>
      <w:r>
        <w:rPr>
          <w:sz w:val="22"/>
          <w:szCs w:val="22"/>
        </w:rPr>
        <w:t xml:space="preserve">, this is </w:t>
      </w:r>
      <w:r>
        <w:rPr>
          <w:sz w:val="22"/>
          <w:szCs w:val="22"/>
          <w:u w:val="single"/>
        </w:rPr>
        <w:t xml:space="preserve">underlined</w:t>
      </w:r>
      <w:r>
        <w:rPr>
          <w:sz w:val="22"/>
          <w:szCs w:val="22"/>
        </w:rPr>
        <w:t xml:space="preserve"> and </w:t>
      </w:r>
      <w:r>
        <w:rPr>
          <w:strike/>
          <w:sz w:val="22"/>
          <w:szCs w:val="22"/>
        </w:rPr>
        <w:t xml:space="preserve">this stretch is struck through</w:t>
      </w:r>
      <w:r>
        <w:rPr>
          <w:sz w:val="22"/>
          <w:szCs w:val="22"/>
        </w:rPr>
        <w:t xml:space="preserve">, each set the way it says it is.</w:t>
      </w:r>
    </w:p>
    <w:p>
      <w:pPr>
        <w:spacing w:line="276" w:lineRule="auto"/>
      </w:pPr>
    </w:p>
    <w:p>
      <w:pPr>
        <w:spacing w:line="276" w:lineRule="auto"/>
        <w:jc w:val="both"/>
      </w:pPr>
      <w:r>
        <w:rPr>
          <w:sz w:val="22"/>
          <w:szCs w:val="22"/>
        </w:rPr>
        <w:t xml:space="preserve">A size is written in half points, so </w:t>
      </w:r>
      <w:r>
        <w:rPr>
          <w:sz w:val="16"/>
          <w:szCs w:val="16"/>
        </w:rPr>
        <w:t xml:space="preserve">this run is 8pt (w:sz=16)</w:t>
      </w:r>
      <w:r>
        <w:rPr>
          <w:sz w:val="22"/>
          <w:szCs w:val="22"/>
        </w:rPr>
        <w:t xml:space="preserve"> and </w:t>
      </w:r>
      <w:r>
        <w:rPr>
          <w:sz w:val="28"/>
          <w:szCs w:val="28"/>
        </w:rPr>
        <w:t xml:space="preserve">this one is 14pt (w:sz=28)</w:t>
      </w:r>
      <w:r>
        <w:rPr>
          <w:sz w:val="22"/>
          <w:szCs w:val="22"/>
        </w:rPr>
        <w:t xml:space="preserve">. A colour is six hexadecimal digits: </w:t>
      </w:r>
      <w:r>
        <w:rPr>
          <w:color w:val="1F3864"/>
          <w:sz w:val="22"/>
          <w:szCs w:val="22"/>
        </w:rPr>
        <w:t xml:space="preserve">this run is coloured 1F3864 (w:color=1F3864)</w:t>
      </w:r>
      <w:r>
        <w:rPr>
          <w:sz w:val="22"/>
          <w:szCs w:val="22"/>
        </w:rPr>
        <w:t xml:space="preserve">, and </w:t>
      </w:r>
      <w:r>
        <w:rPr>
          <w:sz w:val="22"/>
          <w:szCs w:val="22"/>
          <w:shd w:val="clear" w:color="auto" w:fill="FFF2CC"/>
        </w:rPr>
        <w:t xml:space="preserve">this one carries a shading fill of FFF2CC (w:shd w:fill=FFF2CC)</w:t>
      </w:r>
      <w:r>
        <w:rPr>
          <w:sz w:val="22"/>
          <w:szCs w:val="22"/>
        </w:rPr>
        <w:t xml:space="preserve">.</w:t>
      </w:r>
    </w:p>
    <w:p>
      <w:pPr>
        <w:spacing w:line="276" w:lineRule="auto"/>
      </w:pPr>
    </w:p>
    <w:p>
      <w:pPr>
        <w:pStyle w:val="Heading2"/>
        <w:spacing w:line="276" w:lineRule="auto"/>
      </w:pPr>
      <w:r>
        <w:rPr>
          <w:b/>
          <w:bCs/>
          <w:color w:val="1F3864"/>
          <w:sz w:val="26"/>
          <w:szCs w:val="26"/>
        </w:rPr>
        <w:t xml:space="preserve">10. Fonts</w:t>
      </w:r>
    </w:p>
    <w:p>
      <w:pPr>
        <w:spacing w:line="276" w:lineRule="auto"/>
        <w:jc w:val="both"/>
      </w:pPr>
      <w:r>
        <w:rPr>
          <w:rFonts w:ascii="Georgia" w:hAnsi="Georgia"/>
          <w:sz w:val="22"/>
          <w:szCs w:val="22"/>
        </w:rPr>
        <w:t xml:space="preserve">This run names Georgia for the Latin slots (w:rFonts w:ascii=Georgia)</w:t>
      </w:r>
      <w:r>
        <w:rPr>
          <w:sz w:val="22"/>
          <w:szCs w:val="22"/>
        </w:rPr>
        <w:t xml:space="preserve">, </w:t>
      </w:r>
      <w:r>
        <w:rPr>
          <w:rFonts w:ascii="Courier New" w:hAnsi="Courier New"/>
          <w:sz w:val="22"/>
          <w:szCs w:val="22"/>
        </w:rPr>
        <w:t xml:space="preserve">this one names Courier New (w:rFonts w:ascii=Courier New)</w:t>
      </w:r>
      <w:r>
        <w:rPr>
          <w:sz w:val="22"/>
          <w:szCs w:val="22"/>
        </w:rPr>
        <w:t xml:space="preserve">, and </w:t>
      </w:r>
      <w:r>
        <w:rPr>
          <w:rFonts w:ascii="Georgia" w:hAnsi="Georgia" w:eastAsia="Meiryo"/>
          <w:sz w:val="22"/>
          <w:szCs w:val="22"/>
        </w:rPr>
        <w:t xml:space="preserve">this one's slots disagree, Georgia for Latin and Meiryo for East Asian text (w:rFonts w:ascii=Georgia w:eastAsia=Meiryo)</w:t>
      </w:r>
      <w:r>
        <w:rPr>
          <w:sz w:val="22"/>
          <w:szCs w:val="22"/>
        </w:rPr>
        <w:t xml:space="preserve">. Every character here is Latin, so that last slot stands unused; it is what keeps a Japanese or Chinese passage out of a face with no glyphs for it.</w:t>
      </w:r>
    </w:p>
    <w:p>
      <w:pPr>
        <w:spacing w:line="276" w:lineRule="auto"/>
      </w:pPr>
    </w:p>
    <w:p>
      <w:pPr>
        <w:pStyle w:val="Heading2"/>
        <w:spacing w:line="276" w:lineRule="auto"/>
      </w:pPr>
      <w:r>
        <w:rPr>
          <w:b/>
          <w:bCs/>
          <w:color w:val="1F3864"/>
          <w:sz w:val="26"/>
          <w:szCs w:val="26"/>
        </w:rPr>
        <w:t xml:space="preserve">11. Lists</w:t>
      </w:r>
    </w:p>
    <w:p>
      <w:pPr>
        <w:spacing w:line="276" w:lineRule="auto"/>
        <w:jc w:val="both"/>
      </w:pPr>
      <w:r>
        <w:rPr>
          <w:sz w:val="22"/>
          <w:szCs w:val="22"/>
        </w:rPr>
        <w:t xml:space="preserve">A marker comes from the numbering part, and a paragraph names a definition and a level inside it.</w:t>
      </w:r>
    </w:p>
    <w:p>
      <w:pPr>
        <w:spacing w:line="276" w:lineRule="auto"/>
      </w:pPr>
    </w:p>
    <w:p>
      <w:pPr>
        <w:pStyle w:val="ListParagraph"/>
        <w:numPr>
          <w:ilvl w:val="0"/>
          <w:numId w:val="2"/>
        </w:numPr>
        <w:spacing w:line="276" w:lineRule="auto"/>
        <w:ind w:left="800" w:hanging="400"/>
      </w:pPr>
      <w:r>
        <w:rPr>
          <w:sz w:val="22"/>
          <w:szCs w:val="22"/>
        </w:rPr>
        <w:t xml:space="preserve">This item is at level 0 of a numbered definition, whose pattern is a decimal and a full stop (w:numFmt decimal, w:lvlText %1.).</w:t>
      </w:r>
    </w:p>
    <w:p>
      <w:pPr>
        <w:pStyle w:val="ListParagraph"/>
        <w:numPr>
          <w:ilvl w:val="1"/>
          <w:numId w:val="2"/>
        </w:numPr>
        <w:spacing w:line="276" w:lineRule="auto"/>
        <w:ind w:left="1160" w:hanging="360"/>
      </w:pPr>
      <w:r>
        <w:rPr>
          <w:sz w:val="22"/>
          <w:szCs w:val="22"/>
        </w:rPr>
        <w:t xml:space="preserve">This item is at level 1, where the pattern is a lower case letter and a bracket (w:numFmt lowerLetter, w:lvlText %2)).</w:t>
      </w:r>
    </w:p>
    <w:p>
      <w:pPr>
        <w:pStyle w:val="ListParagraph"/>
        <w:numPr>
          <w:ilvl w:val="0"/>
          <w:numId w:val="2"/>
        </w:numPr>
        <w:spacing w:line="276" w:lineRule="auto"/>
        <w:ind w:left="800" w:hanging="400"/>
      </w:pPr>
      <w:r>
        <w:rPr>
          <w:sz w:val="22"/>
          <w:szCs w:val="22"/>
        </w:rPr>
        <w:t xml:space="preserve">This item is back at level 0, and it continues the outer count rather than starting it again.</w:t>
      </w:r>
    </w:p>
    <w:p>
      <w:pPr>
        <w:spacing w:line="276" w:lineRule="auto"/>
      </w:pPr>
    </w:p>
    <w:p>
      <w:pPr>
        <w:pStyle w:val="ListParagraph"/>
        <w:numPr>
          <w:ilvl w:val="0"/>
          <w:numId w:val="1"/>
        </w:numPr>
        <w:spacing w:line="276" w:lineRule="auto"/>
        <w:ind w:left="800" w:hanging="400"/>
      </w:pPr>
      <w:r>
        <w:rPr>
          <w:sz w:val="22"/>
          <w:szCs w:val="22"/>
        </w:rPr>
        <w:t xml:space="preserve">This item is at level 0 of a bulleted definition, whose glyph is a filled circle (w:numFmt bullet).</w:t>
      </w:r>
    </w:p>
    <w:p>
      <w:pPr>
        <w:pStyle w:val="ListParagraph"/>
        <w:numPr>
          <w:ilvl w:val="1"/>
          <w:numId w:val="1"/>
        </w:numPr>
        <w:spacing w:line="276" w:lineRule="auto"/>
        <w:ind w:left="1160" w:hanging="360"/>
      </w:pPr>
      <w:r>
        <w:rPr>
          <w:sz w:val="22"/>
          <w:szCs w:val="22"/>
        </w:rPr>
        <w:t xml:space="preserve">This item is at level 1 of the same definition, where the glyph is a hollow circle instead.</w:t>
      </w:r>
    </w:p>
    <w:p>
      <w:pPr>
        <w:spacing w:line="276" w:lineRule="auto"/>
      </w:pPr>
    </w:p>
    <w:p>
      <w:pPr>
        <w:pStyle w:val="Heading2"/>
        <w:spacing w:line="276" w:lineRule="auto"/>
      </w:pPr>
      <w:r>
        <w:br w:type="page"/>
      </w:r>
      <w:r>
        <w:rPr>
          <w:b/>
          <w:bCs/>
          <w:color w:val="1F3864"/>
          <w:sz w:val="26"/>
          <w:szCs w:val="26"/>
        </w:rPr>
        <w:t xml:space="preserve">12. Tables</w:t>
      </w:r>
    </w:p>
    <w:p>
      <w:pPr>
        <w:spacing w:line="276" w:lineRule="auto"/>
        <w:jc w:val="both"/>
      </w:pPr>
      <w:r>
        <w:rPr>
          <w:sz w:val="22"/>
          <w:szCs w:val="22"/>
        </w:rPr>
        <w:t xml:space="preserve">The rules, padding and vertical placement inside a cell are read from the table. Each row below says what it shows; the last three rows include one merge across columns and one merge across rows.</w:t>
      </w:r>
    </w:p>
    <w:p>
      <w:pPr>
        <w:spacing w:line="276" w:lineRule="auto"/>
      </w:pPr>
    </w:p>
    <w:tbl>
      <w:tblPr>
        <w:tblW w:type="dxa" w:w="9026"/>
        <w:tblBorders>
          <w:top w:val="single" w:sz="4" w:color="A6B7C8"/>
          <w:left w:val="single" w:sz="4" w:color="A6B7C8"/>
          <w:bottom w:val="single" w:sz="4" w:color="A6B7C8"/>
          <w:right w:val="single" w:sz="4" w:color="A6B7C8"/>
          <w:insideH w:val="single" w:sz="4" w:color="A6B7C8"/>
          <w:insideV w:val="single" w:sz="4" w:color="A6B7C8"/>
        </w:tblBorders>
      </w:tblPr>
      <w:tblGrid>
        <w:gridCol w:w="2600"/>
        <w:gridCol w:w="3213"/>
        <w:gridCol w:w="3213"/>
      </w:tblGrid>
      <w:tr>
        <w:tc>
          <w:tcPr>
            <w:tcW w:type="dxa" w:w="2600"/>
            <w:shd w:val="clear" w:color="auto" w:fill="E7EEF6"/>
            <w:tcMar>
              <w:top w:type="dxa" w:w="80"/>
              <w:left w:type="dxa" w:w="140"/>
              <w:bottom w:type="dxa" w:w="80"/>
              <w:right w:type="dxa" w:w="140"/>
            </w:tcMar>
          </w:tcPr>
          <w:p>
            <w:pPr>
              <w:spacing w:line="276" w:lineRule="auto"/>
            </w:pPr>
            <w:r>
              <w:rPr>
                <w:b/>
                <w:bCs/>
                <w:color w:val="1F3864"/>
                <w:sz w:val="22"/>
                <w:szCs w:val="22"/>
              </w:rPr>
              <w:t xml:space="preserve">What the row shows</w:t>
            </w:r>
          </w:p>
        </w:tc>
        <w:tc>
          <w:tcPr>
            <w:tcW w:type="dxa" w:w="3213"/>
            <w:shd w:val="clear" w:color="auto" w:fill="E7EEF6"/>
            <w:tcMar>
              <w:top w:type="dxa" w:w="80"/>
              <w:left w:type="dxa" w:w="140"/>
              <w:bottom w:type="dxa" w:w="80"/>
              <w:right w:type="dxa" w:w="140"/>
            </w:tcMar>
          </w:tcPr>
          <w:p>
            <w:pPr>
              <w:spacing w:line="276" w:lineRule="auto"/>
            </w:pPr>
            <w:r>
              <w:rPr>
                <w:b/>
                <w:bCs/>
                <w:color w:val="1F3864"/>
                <w:sz w:val="22"/>
                <w:szCs w:val="22"/>
              </w:rPr>
              <w:t xml:space="preserve">Left aligned</w:t>
            </w:r>
          </w:p>
        </w:tc>
        <w:tc>
          <w:tcPr>
            <w:tcW w:type="dxa" w:w="3213"/>
            <w:shd w:val="clear" w:color="auto" w:fill="E7EEF6"/>
            <w:tcMar>
              <w:top w:type="dxa" w:w="80"/>
              <w:left w:type="dxa" w:w="140"/>
              <w:bottom w:type="dxa" w:w="80"/>
              <w:right w:type="dxa" w:w="140"/>
            </w:tcMar>
          </w:tcPr>
          <w:p>
            <w:pPr>
              <w:spacing w:line="276" w:lineRule="auto"/>
              <w:jc w:val="center"/>
            </w:pPr>
            <w:r>
              <w:rPr>
                <w:b/>
                <w:bCs/>
                <w:color w:val="1F3864"/>
                <w:sz w:val="22"/>
                <w:szCs w:val="22"/>
              </w:rPr>
              <w:t xml:space="preserve">Centred</w:t>
            </w:r>
          </w:p>
        </w:tc>
      </w:tr>
      <w:tr>
        <w:tc>
          <w:tcPr>
            <w:tcW w:type="dxa" w:w="2600"/>
            <w:tcMar>
              <w:top w:type="dxa" w:w="80"/>
              <w:left w:type="dxa" w:w="140"/>
              <w:bottom w:type="dxa" w:w="80"/>
              <w:right w:type="dxa" w:w="140"/>
            </w:tcMar>
          </w:tcPr>
          <w:p>
            <w:pPr>
              <w:spacing w:line="276" w:lineRule="auto"/>
            </w:pPr>
            <w:r>
              <w:rPr>
                <w:sz w:val="22"/>
                <w:szCs w:val="22"/>
              </w:rPr>
              <w:t xml:space="preserve">Borders</w:t>
            </w:r>
          </w:p>
        </w:tc>
        <w:tc>
          <w:tcPr>
            <w:tcW w:type="dxa" w:w="3213"/>
            <w:tcMar>
              <w:top w:type="dxa" w:w="80"/>
              <w:left w:type="dxa" w:w="140"/>
              <w:bottom w:type="dxa" w:w="80"/>
              <w:right w:type="dxa" w:w="140"/>
            </w:tcMar>
          </w:tcPr>
          <w:p>
            <w:pPr>
              <w:spacing w:line="276" w:lineRule="auto"/>
            </w:pPr>
            <w:r>
              <w:rPr>
                <w:sz w:val="22"/>
                <w:szCs w:val="22"/>
              </w:rPr>
              <w:t xml:space="preserve">A single line half a point thick (w:sz=4, counted in eighths of a point)</w:t>
            </w:r>
          </w:p>
        </w:tc>
        <w:tc>
          <w:tcPr>
            <w:tcW w:type="dxa" w:w="3213"/>
            <w:tcMar>
              <w:top w:type="dxa" w:w="80"/>
              <w:left w:type="dxa" w:w="140"/>
              <w:bottom w:type="dxa" w:w="80"/>
              <w:right w:type="dxa" w:w="140"/>
            </w:tcMar>
          </w:tcPr>
          <w:p>
            <w:pPr>
              <w:spacing w:line="276" w:lineRule="auto"/>
              <w:jc w:val="center"/>
            </w:pPr>
            <w:r>
              <w:rPr>
                <w:sz w:val="22"/>
                <w:szCs w:val="22"/>
              </w:rPr>
              <w:t xml:space="preserve">Drawn in A6B7C8</w:t>
            </w:r>
          </w:p>
        </w:tc>
      </w:tr>
      <w:tr>
        <w:tc>
          <w:tcPr>
            <w:tcW w:type="dxa" w:w="2600"/>
            <w:tcMar>
              <w:top w:type="dxa" w:w="80"/>
              <w:left w:type="dxa" w:w="140"/>
              <w:bottom w:type="dxa" w:w="80"/>
              <w:right w:type="dxa" w:w="140"/>
            </w:tcMar>
          </w:tcPr>
          <w:p>
            <w:pPr>
              <w:spacing w:line="276" w:lineRule="auto"/>
            </w:pPr>
            <w:r>
              <w:rPr>
                <w:sz w:val="22"/>
                <w:szCs w:val="22"/>
              </w:rPr>
              <w:t xml:space="preserve">Column widths</w:t>
            </w:r>
          </w:p>
        </w:tc>
        <w:tc>
          <w:tcPr>
            <w:tcW w:type="dxa" w:w="3213"/>
            <w:tcMar>
              <w:top w:type="dxa" w:w="80"/>
              <w:left w:type="dxa" w:w="140"/>
              <w:bottom w:type="dxa" w:w="80"/>
              <w:right w:type="dxa" w:w="140"/>
            </w:tcMar>
          </w:tcPr>
          <w:p>
            <w:pPr>
              <w:spacing w:line="276" w:lineRule="auto"/>
            </w:pPr>
            <w:r>
              <w:rPr>
                <w:sz w:val="22"/>
                <w:szCs w:val="22"/>
              </w:rPr>
              <w:t xml:space="preserve">2600 twips, then 3213 and 3213 (w:gridCol)</w:t>
            </w:r>
          </w:p>
        </w:tc>
        <w:tc>
          <w:tcPr>
            <w:tcW w:type="dxa" w:w="3213"/>
            <w:tcMar>
              <w:top w:type="dxa" w:w="80"/>
              <w:left w:type="dxa" w:w="140"/>
              <w:bottom w:type="dxa" w:w="80"/>
              <w:right w:type="dxa" w:w="140"/>
            </w:tcMar>
          </w:tcPr>
          <w:p>
            <w:pPr>
              <w:spacing w:line="276" w:lineRule="auto"/>
              <w:jc w:val="center"/>
            </w:pPr>
            <w:r>
              <w:rPr>
                <w:sz w:val="22"/>
                <w:szCs w:val="22"/>
              </w:rPr>
              <w:t xml:space="preserve">Adding up to the width of the body</w:t>
            </w:r>
          </w:p>
        </w:tc>
      </w:tr>
      <w:tr>
        <w:tc>
          <w:tcPr>
            <w:tcW w:type="dxa" w:w="2600"/>
            <w:tcMar>
              <w:top w:type="dxa" w:w="80"/>
              <w:left w:type="dxa" w:w="140"/>
              <w:bottom w:type="dxa" w:w="80"/>
              <w:right w:type="dxa" w:w="140"/>
            </w:tcMar>
          </w:tcPr>
          <w:p>
            <w:pPr>
              <w:spacing w:line="276" w:lineRule="auto"/>
            </w:pPr>
            <w:r>
              <w:rPr>
                <w:sz w:val="22"/>
                <w:szCs w:val="22"/>
              </w:rPr>
              <w:t xml:space="preserve">A merge across</w:t>
            </w:r>
          </w:p>
        </w:tc>
        <w:tc>
          <w:tcPr>
            <w:tcW w:type="dxa" w:w="6426"/>
            <w:gridSpan w:val="2"/>
            <w:shd w:val="clear" w:color="auto" w:fill="F3F7FB"/>
            <w:tcMar>
              <w:top w:type="dxa" w:w="80"/>
              <w:left w:type="dxa" w:w="140"/>
              <w:bottom w:type="dxa" w:w="80"/>
              <w:right w:type="dxa" w:w="140"/>
            </w:tcMar>
          </w:tcPr>
          <w:p>
            <w:pPr>
              <w:spacing w:line="276" w:lineRule="auto"/>
            </w:pPr>
            <w:r>
              <w:rPr>
                <w:sz w:val="22"/>
                <w:szCs w:val="22"/>
              </w:rPr>
              <w:t xml:space="preserve">This one cell covers the two columns to its right (w:gridSpan=2)</w:t>
            </w:r>
          </w:p>
        </w:tc>
      </w:tr>
      <w:tr>
        <w:tc>
          <w:tcPr>
            <w:tcW w:type="dxa" w:w="2600"/>
            <w:vMerge w:val="restart"/>
            <w:shd w:val="clear" w:color="auto" w:fill="F3F7FB"/>
            <w:tcMar>
              <w:top w:type="dxa" w:w="80"/>
              <w:left w:type="dxa" w:w="140"/>
              <w:bottom w:type="dxa" w:w="80"/>
              <w:right w:type="dxa" w:w="140"/>
            </w:tcMar>
          </w:tcPr>
          <w:p>
            <w:pPr>
              <w:spacing w:line="276" w:lineRule="auto"/>
            </w:pPr>
            <w:r>
              <w:rPr>
                <w:sz w:val="22"/>
                <w:szCs w:val="22"/>
              </w:rPr>
              <w:t xml:space="preserve">A merge down</w:t>
            </w:r>
          </w:p>
        </w:tc>
        <w:tc>
          <w:tcPr>
            <w:tcW w:type="dxa" w:w="3213"/>
            <w:tcMar>
              <w:top w:type="dxa" w:w="80"/>
              <w:left w:type="dxa" w:w="140"/>
              <w:bottom w:type="dxa" w:w="80"/>
              <w:right w:type="dxa" w:w="140"/>
            </w:tcMar>
          </w:tcPr>
          <w:p>
            <w:pPr>
              <w:spacing w:line="276" w:lineRule="auto"/>
            </w:pPr>
            <w:r>
              <w:rPr>
                <w:sz w:val="22"/>
                <w:szCs w:val="22"/>
              </w:rPr>
              <w:t xml:space="preserve">The cell on the left covers this row</w:t>
            </w:r>
          </w:p>
        </w:tc>
        <w:tc>
          <w:tcPr>
            <w:tcW w:type="dxa" w:w="3213"/>
            <w:tcMar>
              <w:top w:type="dxa" w:w="80"/>
              <w:left w:type="dxa" w:w="140"/>
              <w:bottom w:type="dxa" w:w="80"/>
              <w:right w:type="dxa" w:w="140"/>
            </w:tcMar>
          </w:tcPr>
          <w:p>
            <w:pPr>
              <w:spacing w:line="276" w:lineRule="auto"/>
              <w:jc w:val="center"/>
            </w:pPr>
            <w:r>
              <w:rPr>
                <w:sz w:val="22"/>
                <w:szCs w:val="22"/>
              </w:rPr>
              <w:t xml:space="preserve">and the row below</w:t>
            </w:r>
          </w:p>
        </w:tc>
      </w:tr>
      <w:tr>
        <w:tc>
          <w:tcPr>
            <w:tcW w:type="dxa" w:w="2600"/>
            <w:vMerge/>
            <w:shd w:val="clear" w:color="auto" w:fill="F3F7FB"/>
            <w:tcMar>
              <w:top w:type="dxa" w:w="80"/>
              <w:left w:type="dxa" w:w="140"/>
              <w:bottom w:type="dxa" w:w="80"/>
              <w:right w:type="dxa" w:w="140"/>
            </w:tcMar>
          </w:tcPr>
          <w:p>
            <w:pPr>
              <w:spacing w:line="276" w:lineRule="auto"/>
            </w:pPr>
          </w:p>
        </w:tc>
        <w:tc>
          <w:tcPr>
            <w:tcW w:type="dxa" w:w="3213"/>
            <w:tcMar>
              <w:top w:type="dxa" w:w="80"/>
              <w:left w:type="dxa" w:w="140"/>
              <w:bottom w:type="dxa" w:w="80"/>
              <w:right w:type="dxa" w:w="140"/>
            </w:tcMar>
          </w:tcPr>
          <w:p>
            <w:pPr>
              <w:spacing w:line="276" w:lineRule="auto"/>
            </w:pPr>
            <w:r>
              <w:rPr>
                <w:sz w:val="22"/>
                <w:szCs w:val="22"/>
              </w:rPr>
              <w:t xml:space="preserve">It is written as w:vMerge restart here</w:t>
            </w:r>
          </w:p>
        </w:tc>
        <w:tc>
          <w:tcPr>
            <w:tcW w:type="dxa" w:w="3213"/>
            <w:tcMar>
              <w:top w:type="dxa" w:w="80"/>
              <w:left w:type="dxa" w:w="140"/>
              <w:bottom w:type="dxa" w:w="80"/>
              <w:right w:type="dxa" w:w="140"/>
            </w:tcMar>
          </w:tcPr>
          <w:p>
            <w:pPr>
              <w:spacing w:line="276" w:lineRule="auto"/>
              <w:jc w:val="center"/>
            </w:pPr>
            <w:r>
              <w:rPr>
                <w:sz w:val="22"/>
                <w:szCs w:val="22"/>
              </w:rPr>
              <w:t xml:space="preserve">and a continuation below</w:t>
            </w:r>
          </w:p>
        </w:tc>
      </w:tr>
    </w:tbl>
    <w:p>
      <w:pPr>
        <w:spacing w:line="276" w:lineRule="auto"/>
      </w:pPr>
    </w:p>
    <w:p>
      <w:pPr>
        <w:pStyle w:val="Heading2"/>
        <w:spacing w:line="276" w:lineRule="auto"/>
      </w:pPr>
      <w:r>
        <w:rPr>
          <w:b/>
          <w:bCs/>
          <w:color w:val="1F3864"/>
          <w:sz w:val="26"/>
          <w:szCs w:val="26"/>
        </w:rPr>
        <w:t xml:space="preserve">13. Cell alignment and padding</w:t>
      </w:r>
    </w:p>
    <w:p>
      <w:pPr>
        <w:spacing w:line="276" w:lineRule="auto"/>
        <w:jc w:val="both"/>
      </w:pPr>
      <w:r>
        <w:t xml:space="preserve">The row below is tall enough to show top, centre and bottom alignment. Its table-level cell margins provide 6 pt vertical and 9 pt horizontal padding.</w:t>
      </w:r>
    </w:p>
    <w:p>
      <w:pPr>
        <w:spacing w:line="276" w:lineRule="auto"/>
      </w:pPr>
    </w:p>
    <w:tbl>
      <w:tblPr>
        <w:tblW w:type="dxa" w:w="9024"/>
        <w:tblBorders>
          <w:top w:val="single" w:sz="8" w:color="A6B7C8"/>
          <w:left w:val="single" w:sz="8" w:color="A6B7C8"/>
          <w:bottom w:val="single" w:sz="8" w:color="A6B7C8"/>
          <w:right w:val="single" w:sz="8" w:color="A6B7C8"/>
          <w:insideV w:val="single" w:sz="8" w:color="A6B7C8"/>
        </w:tblBorders>
        <w:tblCellMar>
          <w:top w:w="120" w:type="dxa"/>
          <w:left w:w="180" w:type="dxa"/>
          <w:bottom w:w="120" w:type="dxa"/>
          <w:right w:w="180" w:type="dxa"/>
        </w:tblCellMar>
      </w:tblPr>
      <w:tblGrid>
        <w:gridCol w:w="3008"/>
        <w:gridCol w:w="3008"/>
        <w:gridCol w:w="3008"/>
      </w:tblGrid>
      <w:tr>
        <w:trPr>
          <w:trHeight w:val="1200" w:hRule="exact"/>
        </w:trPr>
        <w:tc>
          <w:tcPr>
            <w:tcW w:type="dxa" w:w="3008"/>
            <w:vAlign w:val="top"/>
          </w:tcPr>
          <w:p>
            <w:pPr>
              <w:spacing w:line="276" w:lineRule="auto"/>
              <w:jc w:val="center"/>
            </w:pPr>
            <w:r>
              <w:rPr>
                <w:b/>
                <w:bCs/>
                <w:sz w:val="22"/>
                <w:szCs w:val="22"/>
              </w:rPr>
              <w:t xml:space="preserve">Top aligned</w:t>
            </w:r>
          </w:p>
        </w:tc>
        <w:tc>
          <w:tcPr>
            <w:tcW w:type="dxa" w:w="3008"/>
            <w:vAlign w:val="center"/>
          </w:tcPr>
          <w:p>
            <w:pPr>
              <w:spacing w:line="276" w:lineRule="auto"/>
              <w:jc w:val="center"/>
            </w:pPr>
            <w:r>
              <w:rPr>
                <w:b/>
                <w:bCs/>
                <w:sz w:val="22"/>
                <w:szCs w:val="22"/>
              </w:rPr>
              <w:t xml:space="preserve">Centre aligned</w:t>
            </w:r>
          </w:p>
        </w:tc>
        <w:tc>
          <w:tcPr>
            <w:tcW w:type="dxa" w:w="3008"/>
            <w:vAlign w:val="bottom"/>
          </w:tcPr>
          <w:p>
            <w:pPr>
              <w:spacing w:line="276" w:lineRule="auto"/>
              <w:jc w:val="center"/>
            </w:pPr>
            <w:r>
              <w:rPr>
                <w:b/>
                <w:bCs/>
                <w:sz w:val="22"/>
                <w:szCs w:val="22"/>
              </w:rPr>
              <w:t xml:space="preserve">Bottom aligned</w:t>
            </w:r>
          </w:p>
        </w:tc>
      </w:tr>
    </w:tbl>
    <w:p>
      <w:pPr>
        <w:spacing w:line="276" w:lineRule="auto"/>
      </w:pPr>
    </w:p>
    <w:p>
      <w:pPr>
        <w:pStyle w:val="Heading2"/>
        <w:spacing w:line="276" w:lineRule="auto"/>
      </w:pPr>
      <w:r>
        <w:rPr>
          <w:b/>
          <w:bCs/>
          <w:color w:val="1F3864"/>
          <w:sz w:val="26"/>
          <w:szCs w:val="26"/>
        </w:rPr>
        <w:t xml:space="preserve">14. Comments, bookmarks and notes</w:t>
      </w:r>
    </w:p>
    <w:p>
      <w:pPr>
        <w:spacing w:line="276" w:lineRule="auto"/>
        <w:jc w:val="both"/>
      </w:pPr>
      <w:r>
        <w:t xml:space="preserve">This paragraph has a </w:t>
      </w:r>
      <w:commentRangeStart w:id="0"/>
      <w:r>
        <w:rPr>
          <w:shd w:val="clear" w:color="auto" w:fill="FFF2CC"/>
        </w:rPr>
        <w:t xml:space="preserve">commented range</w:t>
      </w:r>
      <w:commentRangeEnd w:id="0"/>
      <w:r>
        <w:commentReference w:id="0"/>
      </w:r>
      <w:r>
        <w:t xml:space="preserve"> connected to a comment thread. The thread can be replied to, resolved and reopened, or removed altogether, from the comments panel.</w:t>
      </w:r>
    </w:p>
    <w:p>
      <w:pPr>
        <w:spacing w:line="276" w:lineRule="auto"/>
      </w:pPr>
    </w:p>
    <w:p>
      <w:pPr>
        <w:spacing w:line="276" w:lineRule="auto"/>
        <w:jc w:val="both"/>
      </w:pPr>
      <w:r>
        <w:t xml:space="preserve">A bookmark is an invisible named range. </w:t>
      </w:r>
      <w:bookmarkStart w:id="1" w:name="FeatureExamples"/>
      <w:r>
        <w:t xml:space="preserve">This sentence is inside the FeatureExamples bookmark.</w:t>
      </w:r>
      <w:bookmarkEnd w:id="1"/>
    </w:p>
    <w:p>
      <w:pPr>
        <w:spacing w:line="276" w:lineRule="auto"/>
      </w:pPr>
    </w:p>
    <w:p>
      <w:pPr>
        <w:spacing w:line="276" w:lineRule="auto"/>
        <w:jc w:val="both"/>
      </w:pPr>
      <w:r>
        <w:t xml:space="preserve">This sentence carries a footnote</w:t>
      </w:r>
      <w:r>
        <w:footnoteReference w:id="1"/>
      </w:r>
      <w:r>
        <w:t xml:space="preserve"> and this one carries an endnote</w:t>
      </w:r>
      <w:r>
        <w:endnoteReference w:id="1"/>
      </w:r>
      <w:r>
        <w:t xml:space="preserve">. Their plain-text bodies are available below the document.</w:t>
      </w:r>
    </w:p>
    <w:p>
      <w:pPr>
        <w:spacing w:line="276" w:lineRule="auto"/>
      </w:pPr>
    </w:p>
    <w:p>
      <w:pPr>
        <w:spacing w:line="276" w:lineRule="auto"/>
        <w:jc w:val="both"/>
      </w:pPr>
      <w:r>
        <w:t xml:space="preserve">The header above comes from header1.xml. The footer below comes from footer1.xml and contains a PAGE field evaluated by the preview.</w:t>
      </w:r>
    </w:p>
    <w:p>
      <w:pPr>
        <w:spacing w:line="276" w:lineRule="auto"/>
      </w:pPr>
    </w:p>
    <w:p>
      <w:pPr>
        <w:pStyle w:val="Heading2"/>
        <w:spacing w:line="276" w:lineRule="auto"/>
      </w:pPr>
      <w:r>
        <w:br w:type="page"/>
      </w:r>
      <w:r>
        <w:rPr>
          <w:b/>
          <w:bCs/>
          <w:color w:val="1F3864"/>
          <w:sz w:val="26"/>
          <w:szCs w:val="26"/>
        </w:rPr>
        <w:t xml:space="preserve">15. Links and locked content</w:t>
      </w:r>
    </w:p>
    <w:p>
      <w:pPr>
        <w:spacing w:line="276" w:lineRule="auto"/>
        <w:jc w:val="both"/>
      </w:pPr>
      <w:r>
        <w:rPr>
          <w:sz w:val="22"/>
          <w:szCs w:val="22"/>
        </w:rPr>
        <w:t xml:space="preserve">The address ending this sentence is a </w:t>
      </w:r>
      <w:r>
        <w:rPr>
          <w:b/>
          <w:bCs/>
          <w:sz w:val="22"/>
          <w:szCs w:val="22"/>
        </w:rPr>
        <w:t xml:space="preserve">w:hyperlink</w:t>
      </w:r>
      <w:r>
        <w:rPr>
          <w:sz w:val="22"/>
          <w:szCs w:val="22"/>
        </w:rPr>
        <w:t xml:space="preserve">, an r:id pointing at an External relationship, with a w:tooltip riding along untouched: </w:t>
      </w:r>
      <w:hyperlink r:id="rId9" w:history="1" w:tooltip="The full feature table">
        <w:r>
          <w:rPr>
            <w:rStyle w:val="Hyperlink"/>
            <w:sz w:val="22"/>
            <w:szCs w:val="22"/>
          </w:rPr>
          <w:t xml:space="preserve">example.com/editor/features</w:t>
        </w:r>
      </w:hyperlink>
      <w:r>
        <w:rPr>
          <w:sz w:val="22"/>
          <w:szCs w:val="22"/>
        </w:rPr>
        <w:t xml:space="preserve">.</w:t>
      </w:r>
    </w:p>
    <w:p>
      <w:pPr>
        <w:spacing w:line="276" w:lineRule="auto"/>
      </w:pPr>
    </w:p>
    <w:p>
      <w:pPr>
        <w:spacing w:line="276" w:lineRule="auto"/>
        <w:jc w:val="both"/>
      </w:pPr>
      <w:r>
        <w:rPr>
          <w:sz w:val="22"/>
          <w:szCs w:val="22"/>
        </w:rPr>
        <w:t xml:space="preserve">A content control can shut against editing, and </w:t>
      </w:r>
      <w:sdt>
        <w:sdtPr>
          <w:id w:val="302"/>
          <w:lock w:val="sdtContentLocked"/>
        </w:sdtPr>
        <w:sdtContent>
          <w:r>
            <w:rPr>
              <w:sz w:val="22"/>
              <w:szCs w:val="22"/>
            </w:rPr>
            <w:t xml:space="preserve">these nine words are inside a locked content control</w:t>
          </w:r>
        </w:sdtContent>
      </w:sdt>
      <w:r>
        <w:rPr>
          <w:sz w:val="22"/>
          <w:szCs w:val="22"/>
        </w:rPr>
        <w:t xml:space="preserve"> (w:sdt with w:lock sdtContentLocked). Every edit inside it is refused, and so is a deletion that would swallow it, while the text on either side stays editable.</w:t>
      </w:r>
    </w:p>
    <w:p>
      <w:pPr>
        <w:spacing w:line="276" w:lineRule="auto"/>
        <w:rPr>
          <w:sz w:val="22"/>
          <w:szCs w:val="22"/>
        </w:rPr>
      </w:pPr>
    </w:p>
    <w:p>
      <w:pPr>
        <w:spacing w:line="276" w:lineRule="auto"/>
        <w:rPr>
          <w:sz w:val="22"/>
          <w:szCs w:val="22"/>
        </w:rPr>
      </w:pPr>
    </w:p>
    <w:p>
      <w:pPr>
        <w:spacing w:line="276" w:lineRule="auto"/>
        <w:jc w:val="center"/>
      </w:pPr>
      <w:r>
        <w:rPr>
          <w:noProof/>
          <w:sz w:val="22"/>
          <w:szCs w:val="22"/>
        </w:rPr>
        <w:drawing>
          <wp:inline distT="0" distB="0" distL="0" distR="0">
            <wp:extent cx="1143000" cy="1143000"/>
            <wp:effectExtent l="0" t="0" r="0" b="0"/>
            <wp:docPr id="1" name="Picture 1" descr="A document glyph: a page with a folded corner and three ruled lines"/>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1143000" cy="1143000"/>
                    </a:xfrm>
                    <a:prstGeom prst="rect">
                      <a:avLst/>
                    </a:prstGeom>
                  </pic:spPr>
                </pic:pic>
              </a:graphicData>
            </a:graphic>
          </wp:inline>
        </w:drawing>
      </w:r>
    </w:p>
    <w:p>
      <w:pPr>
        <w:spacing w:line="276" w:lineRule="auto"/>
        <w:rPr>
          <w:sz w:val="22"/>
          <w:szCs w:val="22"/>
        </w:rPr>
      </w:pPr>
    </w:p>
    <w:p>
      <w:pPr>
        <w:spacing w:line="276" w:lineRule="auto"/>
        <w:rPr>
          <w:sz w:val="22"/>
          <w:szCs w:val="22"/>
        </w:rPr>
      </w:pPr>
    </w:p>
    <w:p>
      <w:pPr>
        <w:spacing w:line="276" w:lineRule="auto"/>
        <w:jc w:val="center"/>
      </w:pPr>
      <w:r>
        <w:rPr>
          <w:i/>
          <w:iCs/>
          <w:color w:val="595959"/>
          <w:sz w:val="18"/>
          <w:szCs w:val="18"/>
        </w:rPr>
        <w:t xml:space="preserve">Figure 1. An inline picture, centred, drawn at the extent its own drawing records (1143000 by 1143000 EMU, which is 120 by 120 pixels). This caption is italic.</w:t>
      </w:r>
    </w:p>
    <w:sectPr>
      <w:headerReference r:id="rId7" w:type="default"/>
      <w:footerReference r:id="rId8" w:type="default"/>
      <w:pgSz w:w="11906" w:h="16838"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w:comment w:id="0" w:author="Demo Author" w:initials="DA" w:date="2026-08-22T00:00:00Z">
    <w:p>
      <w:r>
        <w:t xml:space="preserve">A comment can be replied to, resolved and reopened, and it records who wrote it.</w:t>
      </w:r>
    </w:p>
  </w:comment>
</w:comments>
</file>

<file path=word/endnotes.xml><?xml version="1.0" encoding="utf-8"?>
<w:endnotes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endnote w:type="separator" w:id="-1">
    <w:p>
      <w:r>
        <w:separator/>
      </w:r>
    </w:p>
  </w:endnote>
  <w:endnote w:id="1">
    <w:p>
      <w:r>
        <w:endnoteRef/>
      </w:r>
      <w:r>
        <w:t xml:space="preserve"> An endnote is collected at the end of a document or section in Word.</w:t>
      </w:r>
    </w:p>
  </w:endnote>
</w:endnotes>
</file>

<file path=word/fontTable.xml><?xml version="1.0" encoding="utf-8"?>
<w:fonts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font w:name="Calibri"/>
  <w:font w:name="Arial"/>
  <w:font w:name="Batang"/>
  <w:font w:name="Gulim"/>
  <w:font w:name="Times New Roman"/>
  <w:font w:name="Courier New"/>
</w:fonts>
</file>

<file path=word/footer1.xml><?xml version="1.0" encoding="utf-8"?>
<w:ftr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p>
    <w:pPr>
      <w:jc w:val="center"/>
    </w:pPr>
    <w:r>
      <w:rPr>
        <w:sz w:val="18"/>
        <w:szCs w:val="18"/>
      </w:rPr>
      <w:t xml:space="preserve">Page </w:t>
    </w:r>
    <w:fldSimple w:instr=" PAGE ">
      <w:r>
        <w:rPr>
          <w:sz w:val="18"/>
          <w:szCs w:val="18"/>
        </w:rPr>
        <w:t>1</w:t>
      </w:r>
    </w:fldSimple>
  </w:p>
</w:ftr>
</file>

<file path=word/footnotes.xml><?xml version="1.0" encoding="utf-8"?>
<w:footnotes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footnote w:type="separator" w:id="-1">
    <w:p>
      <w:r>
        <w:separator/>
      </w:r>
    </w:p>
  </w:footnote>
  <w:footnote w:id="1">
    <w:p>
      <w:r>
        <w:footnoteRef/>
      </w:r>
      <w:r>
        <w:t xml:space="preserve"> A footnote appears at the bottom of its page in Word.</w:t>
      </w:r>
    </w:p>
  </w:footnote>
</w:footnotes>
</file>

<file path=word/header1.xml><?xml version="1.0" encoding="utf-8"?>
<w:hdr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p>
    <w:pPr>
      <w:jc w:val="right"/>
    </w:pPr>
    <w:r>
      <w:rPr>
        <w:sz w:val="18"/>
        <w:szCs w:val="18"/>
      </w:rPr>
      <w:t xml:space="preserve">Editor capability summary</w:t>
    </w:r>
  </w:p>
</w:hdr>
</file>

<file path=word/numbering.xml><?xml version="1.0" encoding="utf-8"?>
<w:numbering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abstractNum w:abstractNumId="1">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2">
    <w:lvl w:ilvl="0">
      <w:start w:val="1"/>
      <w:numFmt w:val="decimal"/>
      <w:lvlText w:val="%1."/>
      <w:lvlJc w:val="left"/>
      <w:pPr>
        <w:ind w:left="800" w:hanging="400"/>
      </w:pPr>
    </w:lvl>
    <w:lvl w:ilvl="1">
      <w:start w:val="1"/>
      <w:numFmt w:val="lowerLetter"/>
      <w:lvlText w:val="%2)"/>
      <w:lvlJc w:val="left"/>
      <w:pPr>
        <w:ind w:left="1160" w:hanging="360"/>
      </w:pPr>
    </w:lvl>
    <w:lvl w:ilvl="2">
      <w:start w:val="1"/>
      <w:numFmt w:val="lowerRoman"/>
      <w:lvlText w:val="%3."/>
      <w:lvlJc w:val="left"/>
      <w:pPr>
        <w:ind w:left="1520" w:hanging="360"/>
      </w:pPr>
    </w:lvl>
    <w:lvl w:ilvl="3">
      <w:start w:val="1"/>
      <w:numFmt w:val="decimal"/>
      <w:lvlText w:val="%4."/>
      <w:lvlJc w:val="left"/>
      <w:pPr>
        <w:ind w:left="1880" w:hanging="360"/>
      </w:pPr>
    </w:lvl>
  </w:abstractNum>
  <w:abstractNum w:abstractNumId="3">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lowerRoman"/>
      <w:lvlText w:val="%4."/>
      <w:lvlJc w:val="left"/>
      <w:pPr>
        <w:ind w:left="1800" w:hanging="360"/>
      </w:pPr>
    </w:lvl>
  </w:abstractNum>
  <w:abstractNum w:abstractNumId="4">
    <w:lvl w:ilvl="0">
      <w:start w:val="1"/>
      <w:numFmt w:val="decimal"/>
      <w:lvlText w:val="%1)"/>
      <w:lvlJc w:val="left"/>
      <w:pPr>
        <w:ind w:left="720" w:hanging="360"/>
      </w:p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docDefaults>
    <w:rPrDefault>
      <w:rPr>
        <w:rFonts w:ascii="Arial" w:hAnsi="Arial"/>
      </w:rPr>
    </w:rPrDefault>
    <w:pPrDefault/>
  </w:docDefaults>
  <w:style w:type="paragraph" w:styleId="Title">
    <w:name w:val="Title"/>
    <w:basedOn w:val="Normal"/>
    <w:next w:val="Normal"/>
    <w:qFormat/>
    <w:rPr>
      <w:sz w:val="56"/>
      <w:szCs w:val="56"/>
    </w:rPr>
  </w:style>
  <w:style w:type="paragraph" w:styleId="Subtitle">
    <w:name w:val="Subtitle"/>
    <w:basedOn w:val="Normal"/>
    <w:next w:val="Normal"/>
    <w:qFormat/>
    <w:rPr>
      <w:i/>
      <w:iCs/>
      <w:color w:val="666666"/>
      <w:sz w:val="24"/>
      <w:szCs w:val="24"/>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rPr>
      <w:i/>
      <w:iCs/>
      <w:color w:val="2E74B5"/>
    </w:rPr>
  </w:style>
  <w:style w:type="paragraph" w:styleId="Heading5">
    <w:name w:val="Heading 5"/>
    <w:basedOn w:val="Normal"/>
    <w:next w:val="Normal"/>
    <w:rPr>
      <w:color w:val="2E74B5"/>
    </w:rPr>
  </w:style>
  <w:style w:type="paragraph" w:styleId="Heading6">
    <w:name w:val="Heading 6"/>
    <w:basedOn w:val="Normal"/>
    <w:next w:val="Normal"/>
    <w:rPr>
      <w:color w:val="1F4D78"/>
    </w:rPr>
  </w:style>
  <w:style w:type="paragraph" w:styleId="Strong">
    <w:name w:val="Strong"/>
    <w:basedOn w:val="Normal"/>
    <w:next w:val="Normal"/>
    <w:rPr>
      <w:b/>
      <w:bCs/>
    </w:rPr>
  </w:style>
  <w:style w:type="paragraph" w:styleId="ListParagraph">
    <w:name w:val="List Paragraph"/>
    <w:basedOn w:val="Normal"/>
    <w:next w:val="Normal"/>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next w:val="Normal"/>
    <w:pPr>
      <w:spacing w:after="0" w:line="240" w:lineRule="auto"/>
    </w:pPr>
    <w:rPr>
      <w:sz w:val="20"/>
      <w:szCs w:val="20"/>
    </w:rPr>
  </w:style>
  <w:style w:type="character" w:styleId="EndnoteReference">
    <w:name w:val="endnote reference"/>
    <w:rPr>
      <w:vertAlign w:val="superscript"/>
    </w:rPr>
  </w:style>
  <w:style w:type="paragraph" w:styleId="EndnoteText">
    <w:name w:val="endnote text"/>
    <w:basedOn w:val="Normal"/>
    <w:next w:val="Normal"/>
    <w:pPr>
      <w:spacing w:after="0" w:line="240" w:lineRule="auto"/>
    </w:pPr>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s://example.com/editor/features" TargetMode="External"/><Relationship Id="rId10" Type="http://schemas.openxmlformats.org/officeDocument/2006/relationships/image" Target="media/image1.png"/><Relationship Id="rId11" Type="http://schemas.openxmlformats.org/officeDocument/2006/relationships/comments" Target="comments.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Editor capability summary</dc:title>
  <dc:creator>Documentation</dc:creator>
  <cp:revision>1</cp:revision>
</cp:coreProperties>
</file>