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body>
    <w:p>
      <w:pPr>
        <w:pStyle w:val="Heading1"/>
      </w:pPr>
      <w:r>
        <w:t xml:space="preserve">Readings by the hour</w:t>
      </w:r>
    </w:p>
    <w:p>
      <w:r>
        <w:t xml:space="preserve">Three tables, each wearing a style that dresses the parts of a table on their own.</w:t>
      </w:r>
    </w:p>
    <w:p>
      <w:r>
        <w:t xml:space="preserve">The table below takes the header row, the closing row, both edge columns and the row banding from the style it names.</w:t>
      </w:r>
    </w:p>
    <w:tbl>
      <w:tblPr>
        <w:tblStyle w:val="ReadingTable"/>
        <w:tblW w:w="7000" w:type="dxa"/>
        <w:tblLook w:firstRow="1" w:lastRow="1" w:firstColumn="1" w:lastColumn="1" w:noHBand="0" w:noVBand="1"/>
      </w:tblPr>
      <w:tblGrid>
        <w:gridCol w:w="2400"/>
        <w:gridCol w:w="2300"/>
        <w:gridCol w:w="2300"/>
      </w:tblGrid>
      <w:tr>
        <w:tc>
          <w:tcPr>
            <w:cnfStyle w:val="101000000100"/>
            <w:tcW w:w="2400" w:type="dxa"/>
          </w:tcPr>
          <w:p>
            <w:r>
              <w:t xml:space="preserve">Sample</w:t>
            </w:r>
          </w:p>
        </w:tc>
        <w:tc>
          <w:tcPr>
            <w:tcW w:w="2300" w:type="dxa"/>
          </w:tcPr>
          <w:p>
            <w:r>
              <w:t xml:space="preserve">Reading</w:t>
            </w:r>
          </w:p>
        </w:tc>
        <w:tc>
          <w:tcPr>
            <w:tcW w:w="2300" w:type="dxa"/>
          </w:tcPr>
          <w:p>
            <w:r>
              <w:t xml:space="preserve">Note</w:t>
            </w:r>
          </w:p>
        </w:tc>
      </w:tr>
      <w:tr>
        <w:tc>
          <w:tcPr>
            <w:tcW w:w="2400" w:type="dxa"/>
          </w:tcPr>
          <w:p>
            <w:r>
              <w:t xml:space="preserve">Morning</w:t>
            </w:r>
          </w:p>
        </w:tc>
        <w:tc>
          <w:tcPr>
            <w:tcW w:w="2300" w:type="dxa"/>
          </w:tcPr>
          <w:p>
            <w:r>
              <w:t xml:space="preserve">12</w:t>
            </w:r>
          </w:p>
        </w:tc>
        <w:tc>
          <w:tcPr>
            <w:tcW w:w="2300" w:type="dxa"/>
          </w:tcPr>
          <w:p>
            <w:r>
              <w:t xml:space="preserve">steady</w:t>
            </w:r>
          </w:p>
        </w:tc>
      </w:tr>
      <w:tr>
        <w:tc>
          <w:tcPr>
            <w:tcW w:w="2400" w:type="dxa"/>
          </w:tcPr>
          <w:p>
            <w:r>
              <w:t xml:space="preserve">Midday</w:t>
            </w:r>
          </w:p>
        </w:tc>
        <w:tc>
          <w:tcPr>
            <w:tcW w:w="2300" w:type="dxa"/>
          </w:tcPr>
          <w:p>
            <w:r>
              <w:t xml:space="preserve">18</w:t>
            </w:r>
          </w:p>
        </w:tc>
        <w:tc>
          <w:tcPr>
            <w:tcW w:w="2300" w:type="dxa"/>
          </w:tcPr>
          <w:p>
            <w:r>
              <w:t xml:space="preserve">rising</w:t>
            </w:r>
          </w:p>
        </w:tc>
      </w:tr>
      <w:tr>
        <w:tc>
          <w:tcPr>
            <w:tcW w:w="2400" w:type="dxa"/>
          </w:tcPr>
          <w:p>
            <w:r>
              <w:t xml:space="preserve">Whole day</w:t>
            </w:r>
          </w:p>
        </w:tc>
        <w:tc>
          <w:tcPr>
            <w:tcW w:w="2300" w:type="dxa"/>
          </w:tcPr>
          <w:p>
            <w:r>
              <w:t xml:space="preserve">30</w:t>
            </w:r>
          </w:p>
        </w:tc>
        <w:tc>
          <w:tcPr>
            <w:tcW w:w="2300" w:type="dxa"/>
          </w:tcPr>
          <w:p>
            <w:r>
              <w:t xml:space="preserve">counted twice</w:t>
            </w:r>
          </w:p>
        </w:tc>
      </w:tr>
    </w:tbl>
    <w:p>
      <w:r>
        <w:t xml:space="preserve">This one names the same parts through the bitmask an older writer would have used, and leaves the columns unbanded.</w:t>
      </w:r>
    </w:p>
    <w:tbl>
      <w:tblPr>
        <w:tblStyle w:val="ReadingTable"/>
        <w:tblW w:w="7000" w:type="dxa"/>
        <w:tblLook w:val="04A0"/>
      </w:tblPr>
      <w:tblGrid>
        <w:gridCol w:w="2400"/>
        <w:gridCol w:w="2300"/>
        <w:gridCol w:w="2300"/>
      </w:tblGrid>
      <w:tr>
        <w:tc>
          <w:tcPr>
            <w:tcW w:w="2400" w:type="dxa"/>
          </w:tcPr>
          <w:p>
            <w:r>
              <w:t xml:space="preserve">Sample</w:t>
            </w:r>
          </w:p>
        </w:tc>
        <w:tc>
          <w:tcPr>
            <w:tcW w:w="2300" w:type="dxa"/>
          </w:tcPr>
          <w:p>
            <w:r>
              <w:t xml:space="preserve">Reading</w:t>
            </w:r>
          </w:p>
        </w:tc>
        <w:tc>
          <w:tcPr>
            <w:tcW w:w="2300" w:type="dxa"/>
          </w:tcPr>
          <w:p>
            <w:r>
              <w:t xml:space="preserve">Note</w:t>
            </w:r>
          </w:p>
        </w:tc>
      </w:tr>
      <w:tr>
        <w:tc>
          <w:tcPr>
            <w:tcW w:w="2400" w:type="dxa"/>
          </w:tcPr>
          <w:p>
            <w:r>
              <w:t xml:space="preserve">Evening</w:t>
            </w:r>
          </w:p>
        </w:tc>
        <w:tc>
          <w:tcPr>
            <w:tcW w:w="2300" w:type="dxa"/>
          </w:tcPr>
          <w:p>
            <w:r>
              <w:t xml:space="preserve">9</w:t>
            </w:r>
          </w:p>
        </w:tc>
        <w:tc>
          <w:tcPr>
            <w:tcW w:w="2300" w:type="dxa"/>
          </w:tcPr>
          <w:p>
            <w:r>
              <w:t xml:space="preserve">falling</w:t>
            </w:r>
          </w:p>
        </w:tc>
      </w:tr>
      <w:tr>
        <w:tc>
          <w:tcPr>
            <w:tcW w:w="2400" w:type="dxa"/>
          </w:tcPr>
          <w:p>
            <w:r>
              <w:t xml:space="preserve">Night</w:t>
            </w:r>
          </w:p>
        </w:tc>
        <w:tc>
          <w:tcPr>
            <w:tcW w:w="2300" w:type="dxa"/>
          </w:tcPr>
          <w:p>
            <w:r>
              <w:t xml:space="preserve">4</w:t>
            </w:r>
          </w:p>
        </w:tc>
        <w:tc>
          <w:tcPr>
            <w:tcW w:w="2300" w:type="dxa"/>
          </w:tcPr>
          <w:p>
            <w:r>
              <w:t xml:space="preserve">steady</w:t>
            </w:r>
          </w:p>
        </w:tc>
      </w:tr>
    </w:tbl>
    <w:p>
      <w:r>
        <w:t xml:space="preserve">Here two rows make up one band.</w:t>
      </w:r>
    </w:p>
    <w:tbl>
      <w:tblPr>
        <w:tblStyle w:val="ReadingTableWideBands"/>
        <w:tblW w:w="7000" w:type="dxa"/>
        <w:tblLook w:firstRow="1" w:noVBand="1"/>
      </w:tblPr>
      <w:tblGrid>
        <w:gridCol w:w="3500"/>
        <w:gridCol w:w="3500"/>
      </w:tblGrid>
      <w:tr>
        <w:tc>
          <w:tcPr>
            <w:tcW w:w="3500" w:type="dxa"/>
          </w:tcPr>
          <w:p>
            <w:r>
              <w:t xml:space="preserve">Window</w:t>
            </w:r>
          </w:p>
        </w:tc>
        <w:tc>
          <w:tcPr>
            <w:tcW w:w="3500" w:type="dxa"/>
          </w:tcPr>
          <w:p>
            <w:r>
              <w:t xml:space="preserve">Reading</w:t>
            </w:r>
          </w:p>
        </w:tc>
      </w:tr>
      <w:tr>
        <w:tc>
          <w:tcPr>
            <w:tcW w:w="3500" w:type="dxa"/>
          </w:tcPr>
          <w:p>
            <w:r>
              <w:t xml:space="preserve">First</w:t>
            </w:r>
          </w:p>
        </w:tc>
        <w:tc>
          <w:tcPr>
            <w:tcW w:w="3500" w:type="dxa"/>
          </w:tcPr>
          <w:p>
            <w:r>
              <w:t xml:space="preserve">6</w:t>
            </w:r>
          </w:p>
        </w:tc>
      </w:tr>
      <w:tr>
        <w:tc>
          <w:tcPr>
            <w:tcW w:w="3500" w:type="dxa"/>
          </w:tcPr>
          <w:p>
            <w:r>
              <w:t xml:space="preserve">Second</w:t>
            </w:r>
          </w:p>
        </w:tc>
        <w:tc>
          <w:tcPr>
            <w:tcW w:w="3500" w:type="dxa"/>
          </w:tcPr>
          <w:p>
            <w:r>
              <w:t xml:space="preserve">7</w:t>
            </w:r>
          </w:p>
        </w:tc>
      </w:tr>
      <w:tr>
        <w:tc>
          <w:tcPr>
            <w:tcW w:w="3500" w:type="dxa"/>
          </w:tcPr>
          <w:p>
            <w:r>
              <w:t xml:space="preserve">Third</w:t>
            </w:r>
          </w:p>
        </w:tc>
        <w:tc>
          <w:tcPr>
            <w:tcW w:w="3500" w:type="dxa"/>
          </w:tcPr>
          <w:p>
            <w:r>
              <w:t xml:space="preserve">5</w:t>
            </w:r>
          </w:p>
        </w:tc>
      </w:tr>
      <w:tr>
        <w:tc>
          <w:tcPr>
            <w:tcW w:w="3500" w:type="dxa"/>
          </w:tcPr>
          <w:p>
            <w:r>
              <w:t xml:space="preserve">Fourth</w:t>
            </w:r>
          </w:p>
        </w:tc>
        <w:tc>
          <w:tcPr>
            <w:tcW w:w="3500" w:type="dxa"/>
          </w:tcPr>
          <w:p>
            <w:r>
              <w:t xml:space="preserve">8</w:t>
            </w:r>
          </w:p>
        </w:tc>
      </w:tr>
    </w:tbl>
    <w:p>
      <w:r>
        <w:t xml:space="preserve">Nothing below the tables belongs to a table at all.</w:t>
      </w:r>
    </w:p>
    <w:p>
      <w:r>
        <w:t xml:space="preserve">So nothing here is dressed by a table style either.</w:t>
      </w:r>
    </w:p>
    <w:sectPr>
      <w:headerReference r:id="rId7" w:type="default"/>
      <w:footerReference r:id="rId8" w:type="default"/>
      <w:pgSz w:h="16838" w:w="11906" w:orient="portrait"/>
      <w:pgMar w:bottom="1701" w:top="1440" w:left="1440" w:right="1440" w:header="851" w:footer="992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font w:name="Batang"/>
  <w:font w:name="Verdana"/>
</w:fonts>
</file>

<file path=word/footer1.xml><?xml version="1.0" encoding="utf-8"?>
<w:ft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 w:rsidR="00000000" w:rsidRDefault="00000000">
    <w:r>
      <w:rPr>
        <w:color w:val="000000"/>
      </w:rPr>
    </w:r>
  </w:p>
</w:ftr>
</file>

<file path=word/header1.xml><?xml version="1.0" encoding="utf-8"?>
<w:hd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 w:rsidR="00000000" w:rsidRDefault="00000000">
    <w:r>
      <w:rPr>
        <w:color w:val="000000"/>
      </w:rPr>
    </w:r>
  </w:p>
</w:hdr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abstractNum w:abstractNumId="1"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0"/>
      </w:rPr>
    </w:rPrDefault>
    <w:pPrDefault>
      <w:pPr>
        <w:spacing w:after="120"/>
      </w:pPr>
    </w:pPrDefault>
  </w:docDefaults>
  <w:style w:type="paragraph" w:styleId="Normal" w:default="1">
    <w:name w:val="normal"/>
  </w:style>
  <w:style w:type="paragraph" w:styleId="Heading1">
    <w:name w:val="heading 1"/>
    <w:basedOn w:val="Normal"/>
    <w:next w:val="Normal"/>
    <w:qFormat/>
    <w:pPr>
      <w:keepNext/>
      <w:spacing w:after="240"/>
    </w:pPr>
    <w:rPr>
      <w:b/>
      <w:sz w:val="28"/>
    </w:rPr>
  </w:style>
  <w:style w:type="paragraph" w:styleId="Caption">
    <w:name w:val="caption"/>
    <w:basedOn w:val="Normal"/>
    <w:next w:val="Normal"/>
    <w:qFormat/>
    <w:rPr>
      <w:i/>
      <w:sz w:val="18"/>
    </w:rPr>
  </w:style>
  <w:style w:type="table" w:styleId="TableNormal" w:default="1">
    <w:name w:val="TableNormal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eadingTable">
    <w:name w:val="Reading Table"/>
    <w:basedOn w:val="TableNormal"/>
    <w:tblPr>
      <w:tblStyleRowBandSize w:val="1"/>
      <w:tblStyleColBandSize w:val="1"/>
    </w:tblPr>
    <w:tblStylePr w:type="wholeTable">
      <w:tcPr>
        <w:tc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cBorders>
      </w:tcPr>
    </w:tblStylePr>
    <w:tblStylePr w:type="firstRow">
      <w:rPr>
        <w:b/>
      </w:rPr>
      <w:tcPr>
        <w:tcBorders>
          <w:bottom w:val="single" w:sz="12" w:space="0" w:color="404040"/>
          <w:insideV w:val="nil"/>
        </w:tcBorders>
        <w:shd w:val="clear" w:color="auto" w:fill="D9E2F3"/>
      </w:tcPr>
    </w:tblStylePr>
    <w:tblStylePr w:type="lastRow">
      <w:rPr>
        <w:b/>
      </w:rPr>
      <w:tcPr>
        <w:tcBorders>
          <w:top w:val="double" w:sz="6" w:space="0" w:color="404040"/>
        </w:tcBorders>
      </w:tcPr>
    </w:tblStylePr>
    <w:tblStylePr w:type="firstCol">
      <w:rPr>
        <w:i/>
      </w:rPr>
    </w:tblStylePr>
    <w:tblStylePr w:type="band1Horz">
      <w:tcPr>
        <w:shd w:val="clear" w:color="auto" w:fill="F2F2F2"/>
      </w:tcPr>
    </w:tblStylePr>
    <w:tblStylePr w:type="neCell">
      <w:tcPr>
        <w:shd w:val="clear" w:color="auto" w:fill="FFF2CC"/>
      </w:tcPr>
    </w:tblStylePr>
  </w:style>
  <w:style w:type="table" w:styleId="ReadingTableWideBands">
    <w:name w:val="Reading Table Wide Bands"/>
    <w:basedOn w:val="ReadingTable"/>
    <w:tblPr>
      <w:tblStyleRowBandSize w:val="2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